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FC9" w:rsidRPr="00DF5CE2" w:rsidRDefault="00531319" w:rsidP="00DF5CE2">
      <w:pPr>
        <w:adjustRightInd w:val="0"/>
        <w:snapToGrid w:val="0"/>
        <w:jc w:val="center"/>
        <w:rPr>
          <w:rFonts w:ascii="新細明體" w:hAnsi="新細明體"/>
          <w:color w:val="FF0000"/>
          <w:sz w:val="28"/>
          <w:szCs w:val="28"/>
          <w:u w:val="single"/>
        </w:rPr>
      </w:pPr>
      <w:r w:rsidRPr="00DF5CE2">
        <w:rPr>
          <w:rFonts w:ascii="新細明體" w:hAnsi="新細明體" w:hint="eastAsia"/>
          <w:color w:val="000000"/>
          <w:sz w:val="28"/>
          <w:szCs w:val="28"/>
        </w:rPr>
        <w:t>雲林縣私立揚子</w:t>
      </w:r>
      <w:r w:rsidR="007A5FC9" w:rsidRPr="00DF5CE2">
        <w:rPr>
          <w:rFonts w:ascii="新細明體" w:hAnsi="新細明體"/>
          <w:color w:val="000000"/>
          <w:sz w:val="28"/>
          <w:szCs w:val="28"/>
        </w:rPr>
        <w:t>中學</w:t>
      </w:r>
      <w:r w:rsidR="00DA5E5C" w:rsidRPr="00DF5CE2">
        <w:rPr>
          <w:rFonts w:ascii="新細明體" w:hAnsi="新細明體" w:hint="eastAsia"/>
          <w:color w:val="000000"/>
          <w:sz w:val="28"/>
          <w:szCs w:val="28"/>
          <w:u w:val="single"/>
        </w:rPr>
        <w:t>10</w:t>
      </w:r>
      <w:r w:rsidR="00D724F7">
        <w:rPr>
          <w:rFonts w:ascii="新細明體" w:hAnsi="新細明體" w:hint="eastAsia"/>
          <w:color w:val="000000"/>
          <w:sz w:val="28"/>
          <w:szCs w:val="28"/>
          <w:u w:val="single"/>
        </w:rPr>
        <w:t>5</w:t>
      </w:r>
      <w:r w:rsidR="007A5FC9" w:rsidRPr="00DF5CE2">
        <w:rPr>
          <w:rFonts w:ascii="新細明體" w:hAnsi="新細明體"/>
          <w:color w:val="000000"/>
          <w:sz w:val="28"/>
          <w:szCs w:val="28"/>
        </w:rPr>
        <w:t>學年度</w:t>
      </w:r>
      <w:r w:rsidR="007A5FC9" w:rsidRPr="00DF5CE2">
        <w:rPr>
          <w:rFonts w:ascii="新細明體" w:hAnsi="新細明體" w:hint="eastAsia"/>
          <w:color w:val="000000"/>
          <w:sz w:val="28"/>
          <w:szCs w:val="28"/>
        </w:rPr>
        <w:t>第</w:t>
      </w:r>
      <w:r w:rsidR="007A336C" w:rsidRPr="00DF5CE2">
        <w:rPr>
          <w:rFonts w:ascii="新細明體" w:hAnsi="新細明體" w:hint="eastAsia"/>
          <w:color w:val="000000"/>
          <w:sz w:val="28"/>
          <w:szCs w:val="28"/>
          <w:u w:val="single"/>
        </w:rPr>
        <w:t>2</w:t>
      </w:r>
      <w:r w:rsidR="007A5FC9" w:rsidRPr="00DF5CE2">
        <w:rPr>
          <w:rFonts w:ascii="新細明體" w:hAnsi="新細明體" w:hint="eastAsia"/>
          <w:color w:val="000000"/>
          <w:sz w:val="28"/>
          <w:szCs w:val="28"/>
        </w:rPr>
        <w:t>學期</w:t>
      </w:r>
      <w:r w:rsidR="007A5FC9" w:rsidRPr="00DF5CE2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</w:t>
      </w:r>
      <w:r w:rsidR="004958F3" w:rsidRPr="00DF5CE2">
        <w:rPr>
          <w:rFonts w:ascii="新細明體" w:hAnsi="新細明體" w:hint="eastAsia"/>
          <w:color w:val="000000"/>
          <w:sz w:val="28"/>
          <w:szCs w:val="28"/>
          <w:u w:val="single"/>
        </w:rPr>
        <w:t>七</w:t>
      </w:r>
      <w:r w:rsidR="007A5FC9" w:rsidRPr="00DF5CE2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 </w:t>
      </w:r>
      <w:r w:rsidR="007A5FC9" w:rsidRPr="00DF5CE2">
        <w:rPr>
          <w:rFonts w:ascii="新細明體" w:hAnsi="新細明體"/>
          <w:color w:val="000000"/>
          <w:sz w:val="28"/>
          <w:szCs w:val="28"/>
        </w:rPr>
        <w:t>年級</w:t>
      </w:r>
      <w:r w:rsidR="004958F3" w:rsidRPr="00DF5CE2">
        <w:rPr>
          <w:rFonts w:ascii="新細明體" w:hAnsi="新細明體" w:hint="eastAsia"/>
          <w:color w:val="000000"/>
          <w:sz w:val="28"/>
          <w:szCs w:val="28"/>
        </w:rPr>
        <w:t xml:space="preserve">  </w:t>
      </w:r>
      <w:r w:rsidR="004958F3" w:rsidRPr="00DF5CE2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社團活動</w:t>
      </w:r>
      <w:r w:rsidR="00995A92" w:rsidRPr="00DF5CE2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</w:t>
      </w:r>
      <w:r w:rsidR="00995A92" w:rsidRPr="00DF5CE2">
        <w:rPr>
          <w:rFonts w:ascii="新細明體" w:hAnsi="新細明體" w:hint="eastAsia"/>
          <w:color w:val="000000"/>
          <w:sz w:val="28"/>
          <w:szCs w:val="28"/>
          <w:u w:val="single"/>
          <w:shd w:val="pct15" w:color="auto" w:fill="FFFFFF"/>
        </w:rPr>
        <w:t>彈性</w:t>
      </w:r>
      <w:r w:rsidR="007A5FC9" w:rsidRPr="00DF5CE2">
        <w:rPr>
          <w:rFonts w:ascii="新細明體" w:hAnsi="新細明體"/>
          <w:color w:val="000000"/>
          <w:sz w:val="28"/>
          <w:szCs w:val="28"/>
        </w:rPr>
        <w:t xml:space="preserve">課程計畫 </w:t>
      </w:r>
      <w:r w:rsidR="007A5FC9" w:rsidRPr="00DF5CE2">
        <w:rPr>
          <w:rFonts w:ascii="新細明體" w:hAnsi="新細明體" w:hint="eastAsia"/>
          <w:color w:val="000000"/>
          <w:sz w:val="28"/>
          <w:szCs w:val="28"/>
        </w:rPr>
        <w:t xml:space="preserve"> </w:t>
      </w:r>
      <w:r w:rsidR="007A5FC9" w:rsidRPr="00DF5CE2">
        <w:rPr>
          <w:rFonts w:ascii="新細明體" w:hAnsi="新細明體"/>
          <w:color w:val="000000"/>
          <w:sz w:val="28"/>
          <w:szCs w:val="28"/>
        </w:rPr>
        <w:t>設計者：</w:t>
      </w:r>
      <w:r w:rsidR="007A5FC9" w:rsidRPr="00DF5CE2">
        <w:rPr>
          <w:rFonts w:ascii="新細明體" w:hAnsi="新細明體" w:hint="eastAsia"/>
          <w:b/>
          <w:color w:val="000000"/>
          <w:sz w:val="28"/>
          <w:szCs w:val="28"/>
          <w:u w:val="single"/>
        </w:rPr>
        <w:t xml:space="preserve">  </w:t>
      </w:r>
      <w:r w:rsidR="004958F3" w:rsidRPr="00DF5CE2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學</w:t>
      </w:r>
      <w:proofErr w:type="gramStart"/>
      <w:r w:rsidR="004958F3" w:rsidRPr="00DF5CE2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務</w:t>
      </w:r>
      <w:proofErr w:type="gramEnd"/>
      <w:r w:rsidR="004958F3" w:rsidRPr="00DF5CE2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處訓育組</w:t>
      </w:r>
      <w:r w:rsidR="007A5FC9" w:rsidRPr="00DF5CE2">
        <w:rPr>
          <w:rFonts w:ascii="新細明體" w:hAnsi="新細明體" w:hint="eastAsia"/>
          <w:color w:val="FF0000"/>
          <w:sz w:val="28"/>
          <w:szCs w:val="28"/>
          <w:u w:val="single"/>
        </w:rPr>
        <w:t xml:space="preserve"> </w:t>
      </w:r>
    </w:p>
    <w:p w:rsidR="007A5FC9" w:rsidRPr="00792E59" w:rsidRDefault="007A5FC9" w:rsidP="00792E59">
      <w:pPr>
        <w:adjustRightInd w:val="0"/>
        <w:snapToGrid w:val="0"/>
        <w:ind w:left="360"/>
        <w:jc w:val="both"/>
        <w:rPr>
          <w:rFonts w:ascii="新細明體" w:hAnsi="新細明體"/>
          <w:color w:val="000000"/>
        </w:rPr>
      </w:pPr>
    </w:p>
    <w:p w:rsidR="007A5FC9" w:rsidRPr="00792E59" w:rsidRDefault="007A5FC9" w:rsidP="00792E59">
      <w:pPr>
        <w:tabs>
          <w:tab w:val="left" w:pos="11160"/>
        </w:tabs>
        <w:adjustRightInd w:val="0"/>
        <w:snapToGrid w:val="0"/>
        <w:ind w:left="425"/>
        <w:jc w:val="both"/>
        <w:rPr>
          <w:rFonts w:ascii="新細明體" w:hAnsi="新細明體"/>
          <w:color w:val="000000"/>
        </w:rPr>
      </w:pPr>
      <w:r w:rsidRPr="00792E59">
        <w:rPr>
          <w:rFonts w:ascii="新細明體" w:hAnsi="新細明體"/>
          <w:color w:val="000000"/>
        </w:rPr>
        <w:t>一、本領域每週學習節數（</w:t>
      </w:r>
      <w:r w:rsidRPr="00792E59">
        <w:rPr>
          <w:rFonts w:ascii="新細明體" w:hAnsi="新細明體" w:hint="eastAsia"/>
          <w:color w:val="000000"/>
        </w:rPr>
        <w:t xml:space="preserve"> </w:t>
      </w:r>
      <w:r w:rsidR="004958F3" w:rsidRPr="00792E59">
        <w:rPr>
          <w:rFonts w:ascii="新細明體" w:hAnsi="新細明體" w:hint="eastAsia"/>
          <w:color w:val="000000"/>
        </w:rPr>
        <w:t>21</w:t>
      </w:r>
      <w:r w:rsidRPr="00792E59">
        <w:rPr>
          <w:rFonts w:ascii="新細明體" w:hAnsi="新細明體" w:hint="eastAsia"/>
          <w:color w:val="000000"/>
        </w:rPr>
        <w:t xml:space="preserve"> </w:t>
      </w:r>
      <w:r w:rsidRPr="00792E59">
        <w:rPr>
          <w:rFonts w:ascii="新細明體" w:hAnsi="新細明體"/>
          <w:color w:val="000000"/>
        </w:rPr>
        <w:t>）節</w:t>
      </w:r>
      <w:r w:rsidRPr="00792E59">
        <w:rPr>
          <w:rFonts w:ascii="新細明體" w:hAnsi="新細明體" w:hint="eastAsia"/>
          <w:color w:val="000000"/>
        </w:rPr>
        <w:t>，本學期共</w:t>
      </w:r>
      <w:r w:rsidRPr="00792E59">
        <w:rPr>
          <w:rFonts w:ascii="新細明體" w:hAnsi="新細明體"/>
          <w:color w:val="000000"/>
        </w:rPr>
        <w:t>（</w:t>
      </w:r>
      <w:r w:rsidR="004958F3" w:rsidRPr="00792E59">
        <w:rPr>
          <w:rFonts w:ascii="新細明體" w:hAnsi="新細明體" w:hint="eastAsia"/>
          <w:color w:val="000000"/>
        </w:rPr>
        <w:t>21</w:t>
      </w:r>
      <w:r w:rsidRPr="00792E59">
        <w:rPr>
          <w:rFonts w:ascii="新細明體" w:hAnsi="新細明體"/>
          <w:color w:val="000000"/>
        </w:rPr>
        <w:t>）節</w:t>
      </w:r>
      <w:r w:rsidRPr="00792E59">
        <w:rPr>
          <w:rFonts w:ascii="新細明體" w:hAnsi="新細明體" w:hint="eastAsia"/>
          <w:color w:val="000000"/>
        </w:rPr>
        <w:t>。</w:t>
      </w:r>
      <w:r w:rsidR="00995A92" w:rsidRPr="00792E59">
        <w:rPr>
          <w:rFonts w:ascii="新細明體" w:hAnsi="新細明體"/>
          <w:color w:val="000000"/>
        </w:rPr>
        <w:tab/>
      </w:r>
    </w:p>
    <w:p w:rsidR="007A5FC9" w:rsidRPr="00792E59" w:rsidRDefault="007A5FC9" w:rsidP="00792E59">
      <w:pPr>
        <w:adjustRightInd w:val="0"/>
        <w:snapToGrid w:val="0"/>
        <w:ind w:left="425"/>
        <w:jc w:val="both"/>
        <w:rPr>
          <w:rFonts w:ascii="新細明體" w:hAnsi="新細明體"/>
          <w:color w:val="000000"/>
        </w:rPr>
      </w:pPr>
    </w:p>
    <w:p w:rsidR="007A5FC9" w:rsidRPr="00792E59" w:rsidRDefault="007A5FC9" w:rsidP="00792E59">
      <w:pPr>
        <w:adjustRightInd w:val="0"/>
        <w:snapToGrid w:val="0"/>
        <w:ind w:leftChars="154" w:left="850" w:hangingChars="200" w:hanging="480"/>
        <w:rPr>
          <w:rFonts w:ascii="新細明體" w:hAnsi="新細明體"/>
          <w:bCs/>
          <w:color w:val="FF0000"/>
          <w:shd w:val="pct15" w:color="auto" w:fill="FFFFFF"/>
        </w:rPr>
      </w:pPr>
      <w:r w:rsidRPr="00792E59">
        <w:rPr>
          <w:rFonts w:ascii="新細明體" w:hAnsi="新細明體"/>
          <w:color w:val="000000"/>
        </w:rPr>
        <w:t>二、</w:t>
      </w:r>
      <w:r w:rsidRPr="00792E59">
        <w:rPr>
          <w:rFonts w:ascii="新細明體" w:hAnsi="新細明體" w:hint="eastAsia"/>
          <w:color w:val="000000"/>
        </w:rPr>
        <w:t>第</w:t>
      </w:r>
      <w:r w:rsidR="00F37210">
        <w:rPr>
          <w:rFonts w:ascii="新細明體" w:hAnsi="新細明體" w:hint="eastAsia"/>
          <w:color w:val="000000"/>
        </w:rPr>
        <w:t>2</w:t>
      </w:r>
      <w:r w:rsidRPr="00792E59">
        <w:rPr>
          <w:rFonts w:ascii="新細明體" w:hAnsi="新細明體"/>
          <w:color w:val="000000"/>
        </w:rPr>
        <w:t>學期學習目標：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能應用觀察的方法，並精確表達自己的見聞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0000FF"/>
        </w:rPr>
      </w:pPr>
      <w:r w:rsidRPr="00792E59">
        <w:rPr>
          <w:rFonts w:ascii="新細明體" w:hAnsi="新細明體" w:hint="eastAsia"/>
          <w:color w:val="0000FF"/>
        </w:rPr>
        <w:t>發揮思考及創造的能力，使作品具有獨特的風格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能靈活應用聆聽的方法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選擇適切的健康資訊、服務及產品，以促成健康計畫的執行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FF0000"/>
        </w:rPr>
      </w:pPr>
      <w:r w:rsidRPr="00792E59">
        <w:rPr>
          <w:rFonts w:ascii="新細明體" w:hAnsi="新細明體" w:hint="eastAsia"/>
          <w:color w:val="FF0000"/>
        </w:rPr>
        <w:t>體認自我肯定與自我實現的重要性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選擇提升休閒活動參與的方法，並執行個人終身運動計畫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計畫並發展特殊性專項運動技能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探索生命與死亡的意義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FF0000"/>
        </w:rPr>
      </w:pPr>
      <w:r w:rsidRPr="00792E59">
        <w:rPr>
          <w:rFonts w:ascii="新細明體" w:hAnsi="新細明體" w:hint="eastAsia"/>
          <w:color w:val="FF0000"/>
        </w:rPr>
        <w:t>了解自己的身心變化，並分享自己追求身心健康與成長的體驗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關懷全球環境和人類共同福祉，並身體力行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透過藝術集體創作方式，表達對社區、自然環境之尊重、關懷與愛護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養成日常生活中藝術表現與鑑賞的興趣與習慣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察覺每日生活活動中運用到許多相關的科學概念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在處理問題時，能分工執掌、</w:t>
      </w:r>
      <w:proofErr w:type="gramStart"/>
      <w:r w:rsidRPr="00792E59">
        <w:rPr>
          <w:rFonts w:ascii="新細明體" w:hAnsi="新細明體" w:hint="eastAsia"/>
        </w:rPr>
        <w:t>操控變因</w:t>
      </w:r>
      <w:proofErr w:type="gramEnd"/>
      <w:r w:rsidRPr="00792E59">
        <w:rPr>
          <w:rFonts w:ascii="新細明體" w:hAnsi="新細明體" w:hint="eastAsia"/>
        </w:rPr>
        <w:t>，做流程</w:t>
      </w:r>
      <w:proofErr w:type="gramStart"/>
      <w:r w:rsidRPr="00792E59">
        <w:rPr>
          <w:rFonts w:ascii="新細明體" w:hAnsi="新細明體" w:hint="eastAsia"/>
        </w:rPr>
        <w:t>規</w:t>
      </w:r>
      <w:proofErr w:type="gramEnd"/>
      <w:r w:rsidRPr="00792E59">
        <w:rPr>
          <w:rFonts w:ascii="新細明體" w:hAnsi="新細明體" w:hint="eastAsia"/>
        </w:rPr>
        <w:t>畫，有計畫的進行操作</w:t>
      </w:r>
    </w:p>
    <w:p w:rsidR="004958F3" w:rsidRPr="00792E59" w:rsidRDefault="004958F3" w:rsidP="00792E5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792E59">
        <w:rPr>
          <w:rFonts w:ascii="新細明體" w:hAnsi="新細明體" w:hint="eastAsia"/>
        </w:rPr>
        <w:t>體會參與團體活動的意義，並嘗試改善或組織團體活動</w:t>
      </w:r>
    </w:p>
    <w:p w:rsidR="007A5FC9" w:rsidRPr="00792E59" w:rsidRDefault="007A5FC9" w:rsidP="00792E59">
      <w:pPr>
        <w:adjustRightInd w:val="0"/>
        <w:snapToGrid w:val="0"/>
        <w:ind w:firstLineChars="321" w:firstLine="770"/>
        <w:jc w:val="both"/>
        <w:rPr>
          <w:rFonts w:ascii="新細明體" w:hAnsi="新細明體"/>
          <w:color w:val="0000FF"/>
        </w:rPr>
      </w:pPr>
    </w:p>
    <w:p w:rsidR="00531319" w:rsidRPr="00792E59" w:rsidRDefault="00792E59" w:rsidP="00792E59">
      <w:pPr>
        <w:adjustRightInd w:val="0"/>
        <w:snapToGrid w:val="0"/>
        <w:ind w:leftChars="154" w:left="850" w:hangingChars="200" w:hanging="480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>三、</w:t>
      </w:r>
      <w:r w:rsidR="007A5FC9" w:rsidRPr="00792E59">
        <w:rPr>
          <w:rFonts w:ascii="新細明體" w:hAnsi="新細明體" w:hint="eastAsia"/>
          <w:color w:val="000000"/>
        </w:rPr>
        <w:t>第</w:t>
      </w:r>
      <w:r w:rsidR="000F51D5">
        <w:rPr>
          <w:rFonts w:ascii="新細明體" w:hAnsi="新細明體" w:hint="eastAsia"/>
          <w:color w:val="000000"/>
        </w:rPr>
        <w:t>2</w:t>
      </w:r>
      <w:r w:rsidR="007A5FC9" w:rsidRPr="00792E59">
        <w:rPr>
          <w:rFonts w:ascii="新細明體" w:hAnsi="新細明體"/>
          <w:color w:val="000000"/>
        </w:rPr>
        <w:t>學期課程內涵：</w:t>
      </w:r>
      <w:r w:rsidR="00531319" w:rsidRPr="00792E59">
        <w:rPr>
          <w:rFonts w:ascii="新細明體" w:hAnsi="新細明體" w:hint="eastAsia"/>
          <w:color w:val="000000"/>
        </w:rPr>
        <w:t xml:space="preserve">       </w:t>
      </w:r>
    </w:p>
    <w:tbl>
      <w:tblPr>
        <w:tblW w:w="1443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7"/>
        <w:gridCol w:w="3344"/>
        <w:gridCol w:w="1656"/>
        <w:gridCol w:w="1183"/>
        <w:gridCol w:w="2902"/>
        <w:gridCol w:w="1677"/>
        <w:gridCol w:w="2702"/>
      </w:tblGrid>
      <w:tr w:rsidR="00531319" w:rsidRPr="00792E59" w:rsidTr="00792E59">
        <w:trPr>
          <w:trHeight w:val="357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編號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社團名稱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b/>
                <w:sz w:val="20"/>
                <w:szCs w:val="20"/>
              </w:rPr>
              <w:t>指導老師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b/>
                <w:sz w:val="20"/>
                <w:szCs w:val="20"/>
              </w:rPr>
              <w:t>人數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b/>
                <w:sz w:val="20"/>
                <w:szCs w:val="20"/>
              </w:rPr>
              <w:t>使用場地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b/>
                <w:sz w:val="20"/>
                <w:szCs w:val="20"/>
              </w:rPr>
              <w:t>雨天教室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b/>
                <w:sz w:val="20"/>
                <w:szCs w:val="20"/>
              </w:rPr>
              <w:t>備註</w:t>
            </w:r>
          </w:p>
        </w:tc>
      </w:tr>
      <w:tr w:rsidR="00531319" w:rsidRPr="00792E59" w:rsidTr="00792E59">
        <w:trPr>
          <w:trHeight w:val="359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籃球社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吳俐陵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EF籃球場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二己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排球社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劉邦民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D排球場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三丁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羽球社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林春宏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活動中心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活動中心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武術社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周士翔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女宿前</w:t>
            </w:r>
            <w:proofErr w:type="gramEnd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籃球架集合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792E59">
              <w:rPr>
                <w:rFonts w:ascii="新細明體" w:hAnsi="新細明體" w:hint="eastAsia"/>
                <w:sz w:val="20"/>
                <w:szCs w:val="20"/>
              </w:rPr>
              <w:t>和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1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田徑社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林喜</w:t>
            </w:r>
            <w:proofErr w:type="gramStart"/>
            <w:r w:rsidRPr="00792E59">
              <w:rPr>
                <w:rFonts w:ascii="新細明體" w:hAnsi="新細明體" w:hint="eastAsia"/>
                <w:sz w:val="20"/>
                <w:szCs w:val="20"/>
              </w:rPr>
              <w:t>湳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體育室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體育室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0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跆拳道社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蔡軫</w:t>
            </w:r>
            <w:proofErr w:type="gramEnd"/>
            <w:r w:rsidRPr="00792E59">
              <w:rPr>
                <w:rFonts w:ascii="新細明體" w:hAnsi="新細明體" w:cs="華康圓體 Std W7" w:hint="eastAsia"/>
                <w:kern w:val="0"/>
                <w:sz w:val="20"/>
                <w:szCs w:val="20"/>
              </w:rPr>
              <w:t>伃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網球場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二孝二信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*10/18</w:t>
            </w: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於女宿前</w:t>
            </w:r>
            <w:proofErr w:type="gramEnd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廣場集合</w:t>
            </w:r>
          </w:p>
        </w:tc>
      </w:tr>
      <w:tr w:rsidR="00531319" w:rsidRPr="00792E59" w:rsidTr="00792E59">
        <w:trPr>
          <w:trHeight w:val="29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日本文化研究社（A）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陳翠瑛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圖書室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9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日本文化研究社（B）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陳逸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Ｋ</w:t>
            </w:r>
            <w:proofErr w:type="gramEnd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書中心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5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影片欣賞社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張瑞妍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9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5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動畫欣賞社A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林佑儒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90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792E59">
              <w:rPr>
                <w:rFonts w:ascii="新細明體" w:hAnsi="新細明體" w:hint="eastAsia"/>
                <w:sz w:val="20"/>
                <w:szCs w:val="20"/>
              </w:rPr>
              <w:t>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4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lastRenderedPageBreak/>
              <w:t>011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動畫欣賞社B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黃惠珠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攝影社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李瑞芳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792E59">
              <w:rPr>
                <w:rFonts w:ascii="新細明體" w:hAnsi="新細明體" w:hint="eastAsia"/>
                <w:sz w:val="20"/>
                <w:szCs w:val="20"/>
              </w:rPr>
              <w:t>丁教室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1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013</w:t>
            </w:r>
          </w:p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棋奕社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張榮聰</w:t>
            </w:r>
          </w:p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林文豪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三乙教室</w:t>
            </w:r>
          </w:p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8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魔術社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袁明</w:t>
            </w:r>
            <w:proofErr w:type="gramStart"/>
            <w:r w:rsidRPr="00792E59">
              <w:rPr>
                <w:rFonts w:ascii="新細明體" w:hAnsi="新細明體" w:hint="eastAsia"/>
                <w:sz w:val="20"/>
                <w:szCs w:val="20"/>
              </w:rPr>
              <w:t>馗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792E59">
              <w:rPr>
                <w:rFonts w:ascii="新細明體" w:hAnsi="新細明體" w:hint="eastAsia"/>
                <w:sz w:val="20"/>
                <w:szCs w:val="20"/>
              </w:rPr>
              <w:t>乙教室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4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益智</w:t>
            </w: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桌遊社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林育萱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仁/</w:t>
            </w: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愛教室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4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藝術蠟燭社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計秋江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甲教室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5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手工皂社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曾秀玲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四樓生物實驗室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kern w:val="0"/>
                <w:sz w:val="20"/>
                <w:szCs w:val="20"/>
              </w:rPr>
              <w:t>自立樓</w:t>
            </w:r>
            <w:proofErr w:type="gramStart"/>
            <w:r w:rsidRPr="00792E59">
              <w:rPr>
                <w:rFonts w:ascii="新細明體" w:hAnsi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792E59">
              <w:rPr>
                <w:rFonts w:ascii="新細明體" w:hAnsi="新細明體" w:hint="eastAsia"/>
                <w:kern w:val="0"/>
                <w:sz w:val="20"/>
                <w:szCs w:val="20"/>
              </w:rPr>
              <w:t>愛教室隔壁</w:t>
            </w:r>
          </w:p>
        </w:tc>
      </w:tr>
      <w:tr w:rsidR="00531319" w:rsidRPr="00792E59" w:rsidTr="00792E59">
        <w:trPr>
          <w:trHeight w:val="33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耕心社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楊壹</w:t>
            </w: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kern w:val="0"/>
                <w:sz w:val="20"/>
                <w:szCs w:val="20"/>
              </w:rPr>
              <w:t>教師專業研究室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kern w:val="0"/>
                <w:sz w:val="20"/>
                <w:szCs w:val="20"/>
              </w:rPr>
              <w:t>自立樓二樓</w:t>
            </w:r>
            <w:proofErr w:type="gramStart"/>
            <w:r w:rsidRPr="00792E59">
              <w:rPr>
                <w:rFonts w:ascii="新細明體" w:hAnsi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792E59">
              <w:rPr>
                <w:rFonts w:ascii="新細明體" w:hAnsi="新細明體" w:hint="eastAsia"/>
                <w:kern w:val="0"/>
                <w:sz w:val="20"/>
                <w:szCs w:val="20"/>
              </w:rPr>
              <w:t>信教室隔壁</w:t>
            </w:r>
          </w:p>
        </w:tc>
      </w:tr>
      <w:tr w:rsidR="00531319" w:rsidRPr="00792E59" w:rsidTr="00792E59">
        <w:trPr>
          <w:trHeight w:val="33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心輔社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陳韻如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kern w:val="0"/>
                <w:sz w:val="20"/>
                <w:szCs w:val="20"/>
              </w:rPr>
              <w:t>團體諮商室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自立樓一樓油印室隔壁</w:t>
            </w:r>
          </w:p>
        </w:tc>
      </w:tr>
      <w:tr w:rsidR="00531319" w:rsidRPr="00792E59" w:rsidTr="00792E59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扶少團</w:t>
            </w:r>
            <w:proofErr w:type="gramEnd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楊玉華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二丁教室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華康圓體 Std W7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92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扶少團</w:t>
            </w:r>
            <w:proofErr w:type="gramEnd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楊玉梅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9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二戊教室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春暉社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陳冠同</w:t>
            </w:r>
          </w:p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王信惠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792E59">
              <w:rPr>
                <w:rFonts w:ascii="新細明體" w:hAnsi="新細明體" w:hint="eastAsia"/>
                <w:sz w:val="20"/>
                <w:szCs w:val="20"/>
              </w:rPr>
              <w:t>孝教室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社團糾察隊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胡瑋婷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學</w:t>
            </w:r>
            <w:proofErr w:type="gramStart"/>
            <w:r w:rsidRPr="00792E59">
              <w:rPr>
                <w:rFonts w:ascii="新細明體" w:hAnsi="新細明體" w:hint="eastAsia"/>
                <w:sz w:val="20"/>
                <w:szCs w:val="20"/>
              </w:rPr>
              <w:t>務</w:t>
            </w:r>
            <w:proofErr w:type="gramEnd"/>
            <w:r w:rsidRPr="00792E59">
              <w:rPr>
                <w:rFonts w:ascii="新細明體" w:hAnsi="新細明體" w:hint="eastAsia"/>
                <w:sz w:val="20"/>
                <w:szCs w:val="20"/>
              </w:rPr>
              <w:t>處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家扶中心服務隊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家扶職員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kern w:val="0"/>
                <w:sz w:val="20"/>
                <w:szCs w:val="20"/>
              </w:rPr>
              <w:t>警衛室集合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12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童軍社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工藝教室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30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音樂欣賞社（A）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龔雅琳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二甲教室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8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音樂欣賞社（B）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洪士</w:t>
            </w:r>
            <w:proofErr w:type="gramStart"/>
            <w:r w:rsidRPr="00792E59">
              <w:rPr>
                <w:rFonts w:ascii="新細明體" w:hAnsi="新細明體" w:hint="eastAsia"/>
                <w:sz w:val="20"/>
                <w:szCs w:val="20"/>
              </w:rPr>
              <w:t>閔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二乙教室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7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吉他社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梁志明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二愛教室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8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熱音社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鄒泓維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活動中心舞台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62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合唱團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劉姿伶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音樂教室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4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揚子通訊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副校長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三庚教室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033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辯論社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蔡青汶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二忠教室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034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自行車社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林志鴻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理化實驗室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035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巧</w:t>
            </w:r>
            <w:proofErr w:type="gramStart"/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固球社</w:t>
            </w:r>
            <w:proofErr w:type="gram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鍾明同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kern w:val="0"/>
                <w:sz w:val="20"/>
                <w:szCs w:val="20"/>
              </w:rPr>
              <w:t>創意舞台集合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三己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792E59" w:rsidTr="00792E59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036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創意手工社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江慧瑜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92E5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二己教室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792E59" w:rsidRDefault="00531319" w:rsidP="00792E5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</w:tbl>
    <w:p w:rsidR="00531319" w:rsidRPr="00792E59" w:rsidRDefault="00531319" w:rsidP="00792E59">
      <w:pPr>
        <w:adjustRightInd w:val="0"/>
        <w:snapToGrid w:val="0"/>
        <w:rPr>
          <w:rFonts w:ascii="新細明體" w:hAnsi="新細明體"/>
          <w:color w:val="000000"/>
          <w:sz w:val="20"/>
          <w:szCs w:val="20"/>
        </w:rPr>
      </w:pPr>
    </w:p>
    <w:tbl>
      <w:tblPr>
        <w:tblW w:w="12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2"/>
        <w:gridCol w:w="3399"/>
        <w:gridCol w:w="3260"/>
        <w:gridCol w:w="567"/>
        <w:gridCol w:w="1276"/>
        <w:gridCol w:w="1580"/>
        <w:gridCol w:w="887"/>
      </w:tblGrid>
      <w:tr w:rsidR="000F51D5" w:rsidRPr="00792E59" w:rsidTr="000F51D5">
        <w:trPr>
          <w:trHeight w:val="20"/>
          <w:jc w:val="center"/>
        </w:trPr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51D5" w:rsidRPr="001E5B01" w:rsidRDefault="000F51D5" w:rsidP="00022DAF">
            <w:pPr>
              <w:snapToGrid w:val="0"/>
              <w:jc w:val="center"/>
              <w:rPr>
                <w:rFonts w:eastAsia="細明體"/>
                <w:color w:val="000000"/>
                <w:sz w:val="20"/>
                <w:szCs w:val="20"/>
              </w:rPr>
            </w:pPr>
            <w:r w:rsidRPr="001E5B01">
              <w:rPr>
                <w:rFonts w:eastAsia="細明體"/>
                <w:color w:val="000000"/>
                <w:sz w:val="20"/>
                <w:szCs w:val="20"/>
              </w:rPr>
              <w:t>教學期程</w:t>
            </w:r>
          </w:p>
        </w:tc>
        <w:tc>
          <w:tcPr>
            <w:tcW w:w="3399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/>
                <w:b/>
                <w:color w:val="000000"/>
                <w:sz w:val="20"/>
                <w:szCs w:val="20"/>
              </w:rPr>
              <w:t>能力指標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/>
                <w:b/>
                <w:color w:val="000000"/>
                <w:spacing w:val="-10"/>
                <w:sz w:val="20"/>
                <w:szCs w:val="20"/>
              </w:rPr>
              <w:t>主題或單元活動內容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/>
                <w:b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/>
                <w:b/>
                <w:color w:val="000000"/>
                <w:sz w:val="20"/>
                <w:szCs w:val="20"/>
              </w:rPr>
              <w:t>使用教材</w:t>
            </w:r>
          </w:p>
        </w:tc>
        <w:tc>
          <w:tcPr>
            <w:tcW w:w="1580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/>
                <w:b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0" w:type="auto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/>
                <w:b/>
                <w:color w:val="000000"/>
                <w:sz w:val="20"/>
                <w:szCs w:val="20"/>
              </w:rPr>
              <w:t>備註</w:t>
            </w: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第一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eastAsia="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2/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12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－2/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18</w:t>
            </w:r>
          </w:p>
        </w:tc>
        <w:tc>
          <w:tcPr>
            <w:tcW w:w="339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綜1-3-1探索自我的興趣、性向、價值觀及人格特質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綜1-3-2了解自己的能力、興趣、特質所適合發展的方向</w:t>
            </w:r>
          </w:p>
        </w:tc>
        <w:tc>
          <w:tcPr>
            <w:tcW w:w="3260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社團選組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1.社團說明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2.選社團</w:t>
            </w:r>
          </w:p>
          <w:p w:rsidR="000F51D5" w:rsidRPr="00792E59" w:rsidRDefault="000F51D5" w:rsidP="00792E59">
            <w:pPr>
              <w:snapToGrid w:val="0"/>
              <w:ind w:leftChars="28" w:left="67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三、綜合活動：說明下次上課地點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選課表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pStyle w:val="a7"/>
              <w:suppressAutoHyphens/>
              <w:snapToGrid w:val="0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792E59">
              <w:rPr>
                <w:rFonts w:ascii="新細明體" w:eastAsia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第二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lastRenderedPageBreak/>
              <w:t>2/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19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－2/2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5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lastRenderedPageBreak/>
              <w:t>綜1-3-1探索自我的興趣、性向、價值</w:t>
            </w:r>
            <w:r w:rsidRPr="00792E59">
              <w:rPr>
                <w:rFonts w:ascii="新細明體" w:hAnsi="新細明體" w:hint="eastAsia"/>
                <w:sz w:val="20"/>
                <w:szCs w:val="20"/>
              </w:rPr>
              <w:lastRenderedPageBreak/>
              <w:t>觀及人格特質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綜1-3-2了解自己的能力、興趣、特質所適合發展的方向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社團課程內容說明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1認識所選的社團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2知道社團行事計畫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3攜帶社團教師要求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三、綜合活動：問題與討論 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第三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D724F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2/26</w:t>
            </w:r>
            <w:r w:rsidR="000F51D5"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3/4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第四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D724F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3/5</w:t>
            </w:r>
            <w:r w:rsidR="000F51D5"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－3/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第五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3/</w:t>
            </w:r>
            <w:r w:rsidR="00D724F7">
              <w:rPr>
                <w:rFonts w:ascii="新細明體" w:hAnsi="新細明體" w:hint="eastAsia"/>
                <w:color w:val="000000"/>
                <w:sz w:val="20"/>
                <w:szCs w:val="20"/>
              </w:rPr>
              <w:t>12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－3/</w:t>
            </w:r>
            <w:r w:rsidR="00D724F7">
              <w:rPr>
                <w:rFonts w:ascii="新細明體" w:hAnsi="新細明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第六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3/</w:t>
            </w:r>
            <w:r w:rsidR="00D724F7">
              <w:rPr>
                <w:rFonts w:ascii="新細明體" w:hAnsi="新細明體" w:hint="eastAsia"/>
                <w:color w:val="000000"/>
                <w:sz w:val="20"/>
                <w:szCs w:val="20"/>
              </w:rPr>
              <w:t>19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－3/</w:t>
            </w:r>
            <w:r w:rsidR="00D724F7">
              <w:rPr>
                <w:rFonts w:ascii="新細明體" w:hAnsi="新細明體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</w:t>
            </w: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第七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3/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26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4/1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FF0000"/>
                <w:sz w:val="20"/>
                <w:szCs w:val="20"/>
              </w:rPr>
              <w:t>14第一次定期評量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第八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D724F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4/2</w:t>
            </w:r>
            <w:r w:rsidR="000F51D5"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－4/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第九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4/</w:t>
            </w:r>
            <w:r w:rsidR="00D724F7">
              <w:rPr>
                <w:rFonts w:ascii="新細明體" w:hAnsi="新細明體" w:hint="eastAsia"/>
                <w:color w:val="000000"/>
                <w:sz w:val="20"/>
                <w:szCs w:val="20"/>
              </w:rPr>
              <w:t>9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－4/</w:t>
            </w:r>
            <w:r w:rsidR="00D724F7">
              <w:rPr>
                <w:rFonts w:ascii="新細明體" w:hAnsi="新細明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4/1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6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－4/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22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第十一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4/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23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－4/2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第十二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D724F7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4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/30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5/6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第十三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7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－5/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13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第十四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14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－5/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20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/>
                <w:color w:val="FF0000"/>
                <w:sz w:val="20"/>
                <w:szCs w:val="20"/>
              </w:rPr>
              <w:t>2</w:t>
            </w:r>
            <w:r w:rsidRPr="00792E59">
              <w:rPr>
                <w:rFonts w:ascii="新細明體" w:hAnsi="新細明體" w:hint="eastAsia"/>
                <w:color w:val="FF0000"/>
                <w:sz w:val="20"/>
                <w:szCs w:val="20"/>
              </w:rPr>
              <w:t>第二次定期評量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第十五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21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－5/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27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第十六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28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6/3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第十七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D724F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6/4</w:t>
            </w:r>
            <w:r w:rsidR="000F51D5" w:rsidRPr="001E5B01">
              <w:rPr>
                <w:rFonts w:ascii="新細明體" w:hAnsi="新細明體" w:hint="eastAsia"/>
                <w:sz w:val="20"/>
                <w:szCs w:val="20"/>
              </w:rPr>
              <w:t>－6/</w:t>
            </w:r>
            <w:r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第十八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6/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11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－6/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17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第十九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6/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18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－6/</w:t>
            </w:r>
            <w:r w:rsidR="00D724F7">
              <w:rPr>
                <w:rFonts w:ascii="新細明體" w:hAnsi="新細明體" w:hint="eastAsia"/>
                <w:sz w:val="20"/>
                <w:szCs w:val="20"/>
              </w:rPr>
              <w:t>24</w:t>
            </w:r>
          </w:p>
        </w:tc>
        <w:tc>
          <w:tcPr>
            <w:tcW w:w="3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0F51D5" w:rsidRPr="00792E59" w:rsidTr="000F51D5">
        <w:trPr>
          <w:trHeight w:val="780"/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第二十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0F51D5" w:rsidRPr="001E5B01" w:rsidRDefault="000F51D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6/</w:t>
            </w:r>
            <w:r w:rsidR="00D724F7">
              <w:rPr>
                <w:rFonts w:ascii="新細明體" w:hAnsi="新細明體" w:hint="eastAsia"/>
                <w:color w:val="000000"/>
                <w:sz w:val="20"/>
                <w:szCs w:val="20"/>
              </w:rPr>
              <w:t>25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</w:t>
            </w:r>
            <w:r w:rsidR="00D724F7">
              <w:rPr>
                <w:rFonts w:ascii="新細明體" w:hAnsi="新細明體" w:hint="eastAsia"/>
                <w:color w:val="000000"/>
                <w:sz w:val="20"/>
                <w:szCs w:val="20"/>
              </w:rPr>
              <w:t>7/1</w:t>
            </w:r>
          </w:p>
        </w:tc>
        <w:tc>
          <w:tcPr>
            <w:tcW w:w="3399" w:type="dxa"/>
            <w:tcBorders>
              <w:left w:val="single" w:sz="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shd w:val="clear" w:color="auto" w:fill="auto"/>
          </w:tcPr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0F51D5" w:rsidRPr="00792E59" w:rsidRDefault="000F51D5" w:rsidP="00792E5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1D5" w:rsidRPr="00792E59" w:rsidRDefault="000F51D5" w:rsidP="00792E5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F51D5" w:rsidRPr="00792E59" w:rsidRDefault="000F51D5" w:rsidP="00792E5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92E5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0F51D5" w:rsidRPr="00792E59" w:rsidRDefault="000F51D5" w:rsidP="00792E5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</w:tbl>
    <w:p w:rsidR="007A5FC9" w:rsidRPr="00792E59" w:rsidRDefault="007A5FC9" w:rsidP="00792E59">
      <w:pPr>
        <w:adjustRightInd w:val="0"/>
        <w:snapToGrid w:val="0"/>
        <w:jc w:val="both"/>
        <w:rPr>
          <w:rFonts w:ascii="新細明體" w:hAnsi="新細明體"/>
          <w:sz w:val="20"/>
          <w:szCs w:val="20"/>
        </w:rPr>
      </w:pPr>
      <w:bookmarkStart w:id="0" w:name="_GoBack"/>
      <w:bookmarkEnd w:id="0"/>
      <w:r w:rsidRPr="00792E59">
        <w:rPr>
          <w:rFonts w:ascii="新細明體" w:hAnsi="新細明體"/>
          <w:sz w:val="20"/>
          <w:szCs w:val="20"/>
        </w:rPr>
        <w:t>四、本課程計畫依實際上課節數(</w:t>
      </w:r>
      <w:r w:rsidR="00A50DE4" w:rsidRPr="00792E59">
        <w:rPr>
          <w:rFonts w:ascii="新細明體" w:hAnsi="新細明體" w:hint="eastAsia"/>
          <w:sz w:val="20"/>
          <w:szCs w:val="20"/>
        </w:rPr>
        <w:t>2</w:t>
      </w:r>
      <w:r w:rsidR="00D724F7">
        <w:rPr>
          <w:rFonts w:ascii="新細明體" w:hAnsi="新細明體" w:hint="eastAsia"/>
          <w:sz w:val="20"/>
          <w:szCs w:val="20"/>
        </w:rPr>
        <w:t>0</w:t>
      </w:r>
      <w:r w:rsidRPr="00792E59">
        <w:rPr>
          <w:rFonts w:ascii="新細明體" w:hAnsi="新細明體"/>
          <w:sz w:val="20"/>
          <w:szCs w:val="20"/>
        </w:rPr>
        <w:t>週)撰寫。</w:t>
      </w:r>
    </w:p>
    <w:p w:rsidR="00E367BA" w:rsidRPr="00792E59" w:rsidRDefault="00E367BA" w:rsidP="00792E59">
      <w:pPr>
        <w:snapToGrid w:val="0"/>
        <w:rPr>
          <w:rFonts w:ascii="新細明體" w:hAnsi="新細明體"/>
          <w:sz w:val="20"/>
          <w:szCs w:val="20"/>
        </w:rPr>
      </w:pPr>
    </w:p>
    <w:sectPr w:rsidR="00E367BA" w:rsidRPr="00792E59" w:rsidSect="00792E59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29E" w:rsidRDefault="00C6629E" w:rsidP="00CB3036">
      <w:r>
        <w:separator/>
      </w:r>
    </w:p>
  </w:endnote>
  <w:endnote w:type="continuationSeparator" w:id="0">
    <w:p w:rsidR="00C6629E" w:rsidRDefault="00C6629E" w:rsidP="00CB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黑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中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標宋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圓體 Std W7">
    <w:altName w:val="Arial Unicode MS"/>
    <w:charset w:val="51"/>
    <w:family w:val="auto"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29E" w:rsidRDefault="00C6629E" w:rsidP="00CB3036">
      <w:r>
        <w:separator/>
      </w:r>
    </w:p>
  </w:footnote>
  <w:footnote w:type="continuationSeparator" w:id="0">
    <w:p w:rsidR="00C6629E" w:rsidRDefault="00C6629E" w:rsidP="00CB3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83418"/>
    <w:multiLevelType w:val="hybridMultilevel"/>
    <w:tmpl w:val="8B8E4C16"/>
    <w:lvl w:ilvl="0" w:tplc="7524601A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0F">
      <w:start w:val="1"/>
      <w:numFmt w:val="decimal"/>
      <w:lvlText w:val="%5.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C9"/>
    <w:rsid w:val="00037D28"/>
    <w:rsid w:val="00080BD4"/>
    <w:rsid w:val="000F51D5"/>
    <w:rsid w:val="00136C12"/>
    <w:rsid w:val="00253E05"/>
    <w:rsid w:val="00352879"/>
    <w:rsid w:val="0037038F"/>
    <w:rsid w:val="00397696"/>
    <w:rsid w:val="004958F3"/>
    <w:rsid w:val="004B16CA"/>
    <w:rsid w:val="004F4DF3"/>
    <w:rsid w:val="00531319"/>
    <w:rsid w:val="0065143D"/>
    <w:rsid w:val="006D7B9C"/>
    <w:rsid w:val="00757766"/>
    <w:rsid w:val="00771614"/>
    <w:rsid w:val="00792E59"/>
    <w:rsid w:val="007A336C"/>
    <w:rsid w:val="007A5FC9"/>
    <w:rsid w:val="007E445B"/>
    <w:rsid w:val="009307B3"/>
    <w:rsid w:val="00995A92"/>
    <w:rsid w:val="00A50DE4"/>
    <w:rsid w:val="00A84222"/>
    <w:rsid w:val="00B31EA3"/>
    <w:rsid w:val="00B34D99"/>
    <w:rsid w:val="00B9773C"/>
    <w:rsid w:val="00C42490"/>
    <w:rsid w:val="00C6629E"/>
    <w:rsid w:val="00C81F64"/>
    <w:rsid w:val="00CB3036"/>
    <w:rsid w:val="00D724F7"/>
    <w:rsid w:val="00DA5E5C"/>
    <w:rsid w:val="00DF5CE2"/>
    <w:rsid w:val="00DF6361"/>
    <w:rsid w:val="00E367BA"/>
    <w:rsid w:val="00E94855"/>
    <w:rsid w:val="00EB5446"/>
    <w:rsid w:val="00F25909"/>
    <w:rsid w:val="00F37210"/>
    <w:rsid w:val="00F9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5F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A5FC9"/>
    <w:rPr>
      <w:rFonts w:ascii="Times New Roman" w:eastAsia="新細明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7A5FC9"/>
    <w:pPr>
      <w:jc w:val="center"/>
    </w:pPr>
  </w:style>
  <w:style w:type="character" w:customStyle="1" w:styleId="a6">
    <w:name w:val="註釋標題 字元"/>
    <w:basedOn w:val="a0"/>
    <w:link w:val="a5"/>
    <w:rsid w:val="007A5FC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A5FC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Plain Text"/>
    <w:basedOn w:val="a"/>
    <w:link w:val="a8"/>
    <w:rsid w:val="007A5FC9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7A5FC9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7A5FC9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0">
    <w:name w:val="表格內文1"/>
    <w:basedOn w:val="a"/>
    <w:rsid w:val="007A5FC9"/>
    <w:rPr>
      <w:rFonts w:ascii="華康中明體" w:eastAsia="華康中明體"/>
      <w:sz w:val="22"/>
      <w:szCs w:val="20"/>
    </w:rPr>
  </w:style>
  <w:style w:type="paragraph" w:customStyle="1" w:styleId="3">
    <w:name w:val="3.【對應能力指標】內文字"/>
    <w:basedOn w:val="a7"/>
    <w:rsid w:val="007A5FC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1">
    <w:name w:val="內文1"/>
    <w:basedOn w:val="a"/>
    <w:rsid w:val="007A5FC9"/>
    <w:pPr>
      <w:widowControl/>
      <w:overflowPunct w:val="0"/>
      <w:autoSpaceDE w:val="0"/>
      <w:autoSpaceDN w:val="0"/>
      <w:adjustRightInd w:val="0"/>
      <w:spacing w:line="336" w:lineRule="atLeast"/>
      <w:ind w:firstLine="482"/>
    </w:pPr>
    <w:rPr>
      <w:rFonts w:ascii="Courier New" w:eastAsia="細明體" w:hAnsi="Courier New"/>
      <w:kern w:val="0"/>
      <w:szCs w:val="20"/>
    </w:rPr>
  </w:style>
  <w:style w:type="paragraph" w:styleId="30">
    <w:name w:val="Body Text 3"/>
    <w:basedOn w:val="a"/>
    <w:link w:val="31"/>
    <w:rsid w:val="007A5FC9"/>
    <w:pPr>
      <w:spacing w:line="0" w:lineRule="atLeast"/>
      <w:jc w:val="both"/>
    </w:pPr>
    <w:rPr>
      <w:rFonts w:ascii="標楷體" w:eastAsia="標楷體"/>
      <w:sz w:val="20"/>
      <w:szCs w:val="20"/>
    </w:rPr>
  </w:style>
  <w:style w:type="character" w:customStyle="1" w:styleId="31">
    <w:name w:val="本文 3 字元"/>
    <w:basedOn w:val="a0"/>
    <w:link w:val="30"/>
    <w:rsid w:val="007A5FC9"/>
    <w:rPr>
      <w:rFonts w:ascii="標楷體" w:eastAsia="標楷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7A5FC9"/>
  </w:style>
  <w:style w:type="character" w:customStyle="1" w:styleId="aa">
    <w:name w:val="註解文字 字元"/>
    <w:basedOn w:val="a0"/>
    <w:link w:val="a9"/>
    <w:semiHidden/>
    <w:rsid w:val="007A5FC9"/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7"/>
    <w:rsid w:val="007A5FC9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font6">
    <w:name w:val="font6"/>
    <w:basedOn w:val="a"/>
    <w:rsid w:val="007A5FC9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5">
    <w:name w:val="5.【十大能力指標】內文字（一、二、三、）"/>
    <w:basedOn w:val="a"/>
    <w:rsid w:val="007A5FC9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-1">
    <w:name w:val="內文-1"/>
    <w:basedOn w:val="a"/>
    <w:rsid w:val="007A5FC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2">
    <w:name w:val="樣式2"/>
    <w:basedOn w:val="a"/>
    <w:rsid w:val="007A5FC9"/>
    <w:pPr>
      <w:numPr>
        <w:numId w:val="1"/>
      </w:numPr>
    </w:pPr>
  </w:style>
  <w:style w:type="character" w:styleId="ab">
    <w:name w:val="Hyperlink"/>
    <w:rsid w:val="007A5FC9"/>
    <w:rPr>
      <w:color w:val="0000FF"/>
      <w:u w:val="single"/>
    </w:rPr>
  </w:style>
  <w:style w:type="paragraph" w:customStyle="1" w:styleId="ac">
    <w:name w:val="分段能力指標"/>
    <w:basedOn w:val="a"/>
    <w:rsid w:val="007A5FC9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0">
    <w:name w:val="0"/>
    <w:basedOn w:val="a7"/>
    <w:link w:val="00"/>
    <w:autoRedefine/>
    <w:rsid w:val="007A5FC9"/>
    <w:pPr>
      <w:snapToGrid w:val="0"/>
      <w:spacing w:line="0" w:lineRule="atLeast"/>
      <w:ind w:left="240" w:hangingChars="100" w:hanging="240"/>
    </w:pPr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character" w:customStyle="1" w:styleId="00">
    <w:name w:val="0 字元"/>
    <w:link w:val="0"/>
    <w:rsid w:val="007A5FC9"/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paragraph" w:styleId="ad">
    <w:name w:val="header"/>
    <w:basedOn w:val="a"/>
    <w:link w:val="ae"/>
    <w:uiPriority w:val="99"/>
    <w:unhideWhenUsed/>
    <w:rsid w:val="00CB3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B3036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4958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3131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5F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A5FC9"/>
    <w:rPr>
      <w:rFonts w:ascii="Times New Roman" w:eastAsia="新細明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7A5FC9"/>
    <w:pPr>
      <w:jc w:val="center"/>
    </w:pPr>
  </w:style>
  <w:style w:type="character" w:customStyle="1" w:styleId="a6">
    <w:name w:val="註釋標題 字元"/>
    <w:basedOn w:val="a0"/>
    <w:link w:val="a5"/>
    <w:rsid w:val="007A5FC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A5FC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Plain Text"/>
    <w:basedOn w:val="a"/>
    <w:link w:val="a8"/>
    <w:rsid w:val="007A5FC9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7A5FC9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7A5FC9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0">
    <w:name w:val="表格內文1"/>
    <w:basedOn w:val="a"/>
    <w:rsid w:val="007A5FC9"/>
    <w:rPr>
      <w:rFonts w:ascii="華康中明體" w:eastAsia="華康中明體"/>
      <w:sz w:val="22"/>
      <w:szCs w:val="20"/>
    </w:rPr>
  </w:style>
  <w:style w:type="paragraph" w:customStyle="1" w:styleId="3">
    <w:name w:val="3.【對應能力指標】內文字"/>
    <w:basedOn w:val="a7"/>
    <w:rsid w:val="007A5FC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1">
    <w:name w:val="內文1"/>
    <w:basedOn w:val="a"/>
    <w:rsid w:val="007A5FC9"/>
    <w:pPr>
      <w:widowControl/>
      <w:overflowPunct w:val="0"/>
      <w:autoSpaceDE w:val="0"/>
      <w:autoSpaceDN w:val="0"/>
      <w:adjustRightInd w:val="0"/>
      <w:spacing w:line="336" w:lineRule="atLeast"/>
      <w:ind w:firstLine="482"/>
    </w:pPr>
    <w:rPr>
      <w:rFonts w:ascii="Courier New" w:eastAsia="細明體" w:hAnsi="Courier New"/>
      <w:kern w:val="0"/>
      <w:szCs w:val="20"/>
    </w:rPr>
  </w:style>
  <w:style w:type="paragraph" w:styleId="30">
    <w:name w:val="Body Text 3"/>
    <w:basedOn w:val="a"/>
    <w:link w:val="31"/>
    <w:rsid w:val="007A5FC9"/>
    <w:pPr>
      <w:spacing w:line="0" w:lineRule="atLeast"/>
      <w:jc w:val="both"/>
    </w:pPr>
    <w:rPr>
      <w:rFonts w:ascii="標楷體" w:eastAsia="標楷體"/>
      <w:sz w:val="20"/>
      <w:szCs w:val="20"/>
    </w:rPr>
  </w:style>
  <w:style w:type="character" w:customStyle="1" w:styleId="31">
    <w:name w:val="本文 3 字元"/>
    <w:basedOn w:val="a0"/>
    <w:link w:val="30"/>
    <w:rsid w:val="007A5FC9"/>
    <w:rPr>
      <w:rFonts w:ascii="標楷體" w:eastAsia="標楷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7A5FC9"/>
  </w:style>
  <w:style w:type="character" w:customStyle="1" w:styleId="aa">
    <w:name w:val="註解文字 字元"/>
    <w:basedOn w:val="a0"/>
    <w:link w:val="a9"/>
    <w:semiHidden/>
    <w:rsid w:val="007A5FC9"/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7"/>
    <w:rsid w:val="007A5FC9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font6">
    <w:name w:val="font6"/>
    <w:basedOn w:val="a"/>
    <w:rsid w:val="007A5FC9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5">
    <w:name w:val="5.【十大能力指標】內文字（一、二、三、）"/>
    <w:basedOn w:val="a"/>
    <w:rsid w:val="007A5FC9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-1">
    <w:name w:val="內文-1"/>
    <w:basedOn w:val="a"/>
    <w:rsid w:val="007A5FC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2">
    <w:name w:val="樣式2"/>
    <w:basedOn w:val="a"/>
    <w:rsid w:val="007A5FC9"/>
    <w:pPr>
      <w:numPr>
        <w:numId w:val="1"/>
      </w:numPr>
    </w:pPr>
  </w:style>
  <w:style w:type="character" w:styleId="ab">
    <w:name w:val="Hyperlink"/>
    <w:rsid w:val="007A5FC9"/>
    <w:rPr>
      <w:color w:val="0000FF"/>
      <w:u w:val="single"/>
    </w:rPr>
  </w:style>
  <w:style w:type="paragraph" w:customStyle="1" w:styleId="ac">
    <w:name w:val="分段能力指標"/>
    <w:basedOn w:val="a"/>
    <w:rsid w:val="007A5FC9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0">
    <w:name w:val="0"/>
    <w:basedOn w:val="a7"/>
    <w:link w:val="00"/>
    <w:autoRedefine/>
    <w:rsid w:val="007A5FC9"/>
    <w:pPr>
      <w:snapToGrid w:val="0"/>
      <w:spacing w:line="0" w:lineRule="atLeast"/>
      <w:ind w:left="240" w:hangingChars="100" w:hanging="240"/>
    </w:pPr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character" w:customStyle="1" w:styleId="00">
    <w:name w:val="0 字元"/>
    <w:link w:val="0"/>
    <w:rsid w:val="007A5FC9"/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paragraph" w:styleId="ad">
    <w:name w:val="header"/>
    <w:basedOn w:val="a"/>
    <w:link w:val="ae"/>
    <w:uiPriority w:val="99"/>
    <w:unhideWhenUsed/>
    <w:rsid w:val="00CB3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B3036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4958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3131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815</Words>
  <Characters>4648</Characters>
  <Application>Microsoft Office Word</Application>
  <DocSecurity>0</DocSecurity>
  <Lines>38</Lines>
  <Paragraphs>10</Paragraphs>
  <ScaleCrop>false</ScaleCrop>
  <Company/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8</cp:revision>
  <dcterms:created xsi:type="dcterms:W3CDTF">2015-07-24T02:57:00Z</dcterms:created>
  <dcterms:modified xsi:type="dcterms:W3CDTF">2016-07-27T05:06:00Z</dcterms:modified>
</cp:coreProperties>
</file>