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6B" w:rsidRPr="00DC406B" w:rsidRDefault="00DC406B" w:rsidP="00DC406B">
      <w:pPr>
        <w:widowControl/>
        <w:spacing w:line="240" w:lineRule="atLeast"/>
        <w:ind w:left="900" w:hangingChars="200" w:hanging="900"/>
        <w:jc w:val="center"/>
        <w:rPr>
          <w:rFonts w:ascii="新細明體" w:eastAsia="新細明體" w:hAnsi="新細明體" w:cs="新細明體"/>
          <w:color w:val="000000"/>
          <w:spacing w:val="45"/>
          <w:kern w:val="0"/>
          <w:sz w:val="36"/>
          <w:szCs w:val="36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36"/>
          <w:szCs w:val="36"/>
        </w:rPr>
        <w:t>雲林揚子高級中學生物實驗室管理要點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一、為提升生物實驗室之管理及使用效能，特制訂此要點。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二、教師使用注意事項：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1.請生物科教師於實驗前一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週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至設備組填寫實驗室借用登記表並提出設備及材料清單，以便設備組人員準備工作。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2.其他時間如需使用本教室，則由任課教師向設備組人員提出申請，並填寫使用登記表，以先申請者優先使用。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3.請生物科教師在實驗前與設備組人員清點設備器材，並於實驗完畢後如數歸還。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4.使用完畢後請確實督導各組同學清點設備器材，並檢查所有設備器材之電源是否關閉，門窗上鎖，鑰匙歸還設備組人員。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三、學生使用注意事項：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1.各組設組長一人，於實驗前清點設備器材是否無誤，若有缺少請立即通知任課教師或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設備組設備組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人員，每組領到之設備器材需負保管責任，若有損壞或遺失，需負賠償責任。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2.學生進入生物實驗室，務必嚴格遵守使用規則，保持室內整潔及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肅靜，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嚴禁在室內追逐、嬉鬧。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3.上課時間學生應按照排定位置就坐，不可任意調換，所使用設備器材應負責維護，如有遺失、破壞、毀損情況，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由原座學生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負責賠償。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4.為維護教室設備及清潔，嚴禁攜帶飲料及食物進入。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5.未經任課教師允許，不得擅自動用儀器及材料，或自行操作無關之實驗。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6.下課後應將使用過的設備器材清洗乾淨、陰乾，並清點設備器材。協助教師關閉門窗及電源，並將使用的器材歸位。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7.各班應設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實驗負責同學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（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如：生物小老師</w:t>
      </w:r>
      <w:proofErr w:type="gramStart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）</w:t>
      </w:r>
      <w:proofErr w:type="gramEnd"/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，於實驗完畢後至各組清點器材，並視察同學做好整潔、鎖窗鎖門之工作。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四、設備的使用與維護：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1.定期維護：由該科教師視需要向設備組提出維護申請，再由設備組延請專業人員維護。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2.如發現設備器材有故障損壞時，請立即通知授課教師，並將故障情形通知設備組申請維修。</w:t>
      </w: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3.實驗藥品材料用盡前由任課教師向本設備組人員提出申請補充。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五、環境清潔：</w:t>
      </w:r>
    </w:p>
    <w:p w:rsidR="00DC406B" w:rsidRPr="00DC406B" w:rsidRDefault="00DC406B" w:rsidP="00DC406B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DC406B" w:rsidRPr="00DC406B" w:rsidRDefault="00DC406B" w:rsidP="00DC406B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DC406B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每節下課由全體同學自行分配工作清除周圍之垃圾。</w:t>
      </w:r>
    </w:p>
    <w:p w:rsidR="000A554F" w:rsidRPr="00DC406B" w:rsidRDefault="000A554F">
      <w:bookmarkStart w:id="0" w:name="_GoBack"/>
      <w:bookmarkEnd w:id="0"/>
    </w:p>
    <w:sectPr w:rsidR="000A554F" w:rsidRPr="00DC406B" w:rsidSect="00DC40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6B"/>
    <w:rsid w:val="000A554F"/>
    <w:rsid w:val="00D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user09</cp:lastModifiedBy>
  <cp:revision>1</cp:revision>
  <dcterms:created xsi:type="dcterms:W3CDTF">2016-03-21T08:33:00Z</dcterms:created>
  <dcterms:modified xsi:type="dcterms:W3CDTF">2016-03-21T08:33:00Z</dcterms:modified>
</cp:coreProperties>
</file>