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6D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D2766D">
        <w:rPr>
          <w:rFonts w:ascii="標楷體" w:eastAsia="標楷體" w:hAnsi="標楷體" w:hint="eastAsia"/>
          <w:color w:val="000000"/>
          <w:sz w:val="40"/>
          <w:szCs w:val="40"/>
        </w:rPr>
        <w:t>學期國</w:t>
      </w:r>
      <w:proofErr w:type="gramStart"/>
      <w:r w:rsidR="00D2766D">
        <w:rPr>
          <w:rFonts w:ascii="標楷體" w:eastAsia="標楷體" w:hAnsi="標楷體" w:hint="eastAsia"/>
          <w:color w:val="000000"/>
          <w:sz w:val="40"/>
          <w:szCs w:val="40"/>
        </w:rPr>
        <w:t>一</w:t>
      </w:r>
      <w:proofErr w:type="gramEnd"/>
      <w:r w:rsidR="00D2766D">
        <w:rPr>
          <w:rFonts w:ascii="標楷體" w:eastAsia="標楷體" w:hAnsi="標楷體" w:hint="eastAsia"/>
          <w:color w:val="000000"/>
          <w:sz w:val="40"/>
          <w:szCs w:val="40"/>
        </w:rPr>
        <w:t>甲、丙、</w:t>
      </w:r>
      <w:proofErr w:type="gramStart"/>
      <w:r w:rsidR="00D2766D">
        <w:rPr>
          <w:rFonts w:ascii="標楷體" w:eastAsia="標楷體" w:hAnsi="標楷體" w:hint="eastAsia"/>
          <w:color w:val="000000"/>
          <w:sz w:val="40"/>
          <w:szCs w:val="40"/>
        </w:rPr>
        <w:t>丁班生物</w:t>
      </w:r>
      <w:proofErr w:type="gramEnd"/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</w:t>
      </w:r>
    </w:p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D2766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王妍</w:t>
      </w:r>
      <w:proofErr w:type="gramStart"/>
      <w:r w:rsidR="00D2766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絜</w:t>
      </w:r>
      <w:proofErr w:type="gramEnd"/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713"/>
        <w:gridCol w:w="6941"/>
      </w:tblGrid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941" w:type="dxa"/>
          </w:tcPr>
          <w:p w:rsidR="00D2766D" w:rsidRPr="00D2766D" w:rsidRDefault="00D2766D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1.在對的時間</w:t>
            </w:r>
            <w:proofErr w:type="gramStart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做對</w:t>
            </w:r>
            <w:proofErr w:type="gramEnd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的事：學生上課專心聽講、不分心，</w:t>
            </w:r>
            <w:r w:rsidR="000F7EB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下課複習、準時完成作業。</w:t>
            </w:r>
          </w:p>
          <w:p w:rsidR="00D2766D" w:rsidRPr="00D2766D" w:rsidRDefault="00D2766D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2.自動自發、盡忠職守：無論讀書、做事都能主動執行、</w:t>
            </w:r>
            <w:r w:rsidR="000F7EB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盡力做好，腳踏實地，不投機取巧。</w:t>
            </w:r>
          </w:p>
          <w:p w:rsidR="00D2766D" w:rsidRPr="00D2766D" w:rsidRDefault="00D2766D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3.尊重同儕、尊敬師長：同儕之間交往要互相尊重、面</w:t>
            </w:r>
            <w:r w:rsidR="000F7EB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對師長表現應有的尊敬態度，最後能</w:t>
            </w:r>
            <w:proofErr w:type="gramStart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做對</w:t>
            </w:r>
            <w:proofErr w:type="gramEnd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自己和別人都好的事。</w:t>
            </w:r>
          </w:p>
          <w:p w:rsidR="00D2766D" w:rsidRPr="00D2766D" w:rsidRDefault="00D2766D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4.啟發創造、思考的能力：鼓勵學生勇於發問、發言，</w:t>
            </w:r>
            <w:r w:rsidR="000F7EB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激發學生的好奇心，並能把上課</w:t>
            </w:r>
            <w:proofErr w:type="gramStart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所學內化</w:t>
            </w:r>
            <w:proofErr w:type="gramEnd"/>
            <w:r w:rsidRPr="00D2766D">
              <w:rPr>
                <w:rFonts w:ascii="標楷體" w:eastAsia="標楷體" w:hAnsi="標楷體" w:hint="eastAsia"/>
                <w:sz w:val="28"/>
                <w:szCs w:val="28"/>
              </w:rPr>
              <w:t>，讓知識活用。</w:t>
            </w:r>
          </w:p>
          <w:p w:rsidR="008B6E88" w:rsidRPr="00026E9B" w:rsidRDefault="000F7EB4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D2766D" w:rsidRPr="00D2766D">
              <w:rPr>
                <w:rFonts w:ascii="標楷體" w:eastAsia="標楷體" w:hAnsi="標楷體" w:hint="eastAsia"/>
                <w:sz w:val="28"/>
                <w:szCs w:val="28"/>
              </w:rPr>
              <w:t>守時：培養學生守時的好習慣，上學不遲到，早自修、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="00D2766D" w:rsidRPr="00D2766D">
              <w:rPr>
                <w:rFonts w:ascii="標楷體" w:eastAsia="標楷體" w:hAnsi="標楷體" w:hint="eastAsia"/>
                <w:sz w:val="28"/>
                <w:szCs w:val="28"/>
              </w:rPr>
              <w:t>午休、上課能準時進教室。</w:t>
            </w:r>
          </w:p>
        </w:tc>
      </w:tr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941" w:type="dxa"/>
          </w:tcPr>
          <w:p w:rsidR="002D2427" w:rsidRPr="002D2427" w:rsidRDefault="000F7EB4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1.</w:t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知識：經由學習活動，使學生認識瞭解</w:t>
            </w:r>
            <w:r w:rsidR="00ED013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生物的生殖、遺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br/>
            </w:r>
            <w:r w:rsidR="00ED013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傳、演化、分類及生態，</w:t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並體認人類</w:t>
            </w:r>
            <w:r w:rsidR="00ED013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與生態環境</w:t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的</w:t>
            </w:r>
            <w:r w:rsidR="00F7140B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交互</w:t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關係。</w:t>
            </w:r>
          </w:p>
          <w:p w:rsidR="002D2427" w:rsidRPr="002D2427" w:rsidRDefault="000F7EB4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2.</w:t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技能：在學習活動中，培養學生觀察、推理、實驗等科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br/>
            </w:r>
            <w:r w:rsidR="002D2427"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學方法，藉以啟發獨立思考與創造能力，並應用於日常生活中問題之解決。</w:t>
            </w:r>
          </w:p>
          <w:p w:rsidR="008B6E88" w:rsidRPr="008C68A4" w:rsidRDefault="002D2427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3.情意：引導學生以積極主動的態度，探究生物及其與自</w:t>
            </w:r>
            <w:r w:rsidR="000F7EB4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br/>
            </w:r>
            <w:r w:rsidRPr="002D242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然環境的關係，進而培養親近自然、愛護環境與尊重生命的情操。</w:t>
            </w:r>
          </w:p>
        </w:tc>
      </w:tr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941" w:type="dxa"/>
          </w:tcPr>
          <w:p w:rsidR="008B6E88" w:rsidRDefault="000F7EB4" w:rsidP="00AB40AB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1.生殖：1-1 細胞的分裂；1-2 無性生殖；1-3 有性生殖</w:t>
            </w:r>
          </w:p>
          <w:p w:rsidR="000F7EB4" w:rsidRDefault="000F7EB4" w:rsidP="00AB40AB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2.遺傳：2-1 孟德爾的遺傳法則；2-2 遺傳與基因；2-3 人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類的遺傳；2-4 突變與遺傳諮詢；2-5 生物技術</w:t>
            </w:r>
          </w:p>
          <w:p w:rsidR="000F7EB4" w:rsidRDefault="000F7EB4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3.演化：3-1 化石；3-2 演化的學說；3-3 生物的演化</w:t>
            </w:r>
          </w:p>
          <w:p w:rsidR="000F7EB4" w:rsidRDefault="000F7EB4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4.形形色色的生物：4-1 生物的分類；4-2 原核及原生生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物界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；4-3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菌物界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；4-4 植物界；4-5 動物界</w:t>
            </w:r>
          </w:p>
          <w:p w:rsidR="000F7EB4" w:rsidRDefault="000F7EB4" w:rsidP="000F7EB4">
            <w:pPr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5.生物與環境：5-1 族群與群集；5-2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生物間的互動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係；5-3 生態系；5-4 生態系的類型</w:t>
            </w:r>
          </w:p>
          <w:p w:rsidR="000F7EB4" w:rsidRPr="00026E9B" w:rsidRDefault="000F7EB4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6.</w:t>
            </w:r>
            <w:r w:rsidR="008D5E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環境保護與生態平衡：6-1 人類與環境；6-2 生物多</w:t>
            </w:r>
            <w:proofErr w:type="gramStart"/>
            <w:r w:rsidR="008D5E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樣</w:t>
            </w:r>
            <w:proofErr w:type="gramEnd"/>
            <w:r w:rsidR="008D5E1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8D5E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性；6-3 保育與生態平衡</w:t>
            </w:r>
          </w:p>
        </w:tc>
      </w:tr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941" w:type="dxa"/>
          </w:tcPr>
          <w:p w:rsidR="005F5EB3" w:rsidRDefault="005F5EB3" w:rsidP="0003302C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1.習作題目</w:t>
            </w:r>
          </w:p>
          <w:p w:rsidR="005F5EB3" w:rsidRDefault="005F5EB3" w:rsidP="0003302C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2.隨堂測驗卷題目</w:t>
            </w:r>
          </w:p>
          <w:p w:rsidR="008B6E88" w:rsidRPr="00026E9B" w:rsidRDefault="005F5EB3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3.</w:t>
            </w:r>
            <w:r w:rsidR="00621D92"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活動紀錄</w:t>
            </w:r>
            <w:proofErr w:type="gramStart"/>
            <w:r w:rsidR="00621D92"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簿</w:t>
            </w:r>
            <w:proofErr w:type="gramEnd"/>
            <w:r w:rsidR="00621D92"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題目</w:t>
            </w:r>
          </w:p>
        </w:tc>
      </w:tr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評量方式</w:t>
            </w:r>
          </w:p>
        </w:tc>
        <w:tc>
          <w:tcPr>
            <w:tcW w:w="6941" w:type="dxa"/>
          </w:tcPr>
          <w:p w:rsidR="008B6E88" w:rsidRPr="00026E9B" w:rsidRDefault="00377E1D" w:rsidP="00377E1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學習評量</w:t>
            </w:r>
            <w:proofErr w:type="gramStart"/>
            <w:r w:rsidR="00621D92"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採</w:t>
            </w:r>
            <w:proofErr w:type="gramEnd"/>
            <w:r w:rsidR="00621D92"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多元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評量</w:t>
            </w:r>
            <w:r w:rsidR="00621D92"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方式實施，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運</w:t>
            </w:r>
            <w:r w:rsidR="00621D92"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用口試、筆試、報告、提出作品、戶外教學活動等方式進行。亦注重實驗的準備、操作、數據處理等的評量。</w:t>
            </w:r>
          </w:p>
        </w:tc>
      </w:tr>
      <w:tr w:rsidR="008B6E88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941" w:type="dxa"/>
          </w:tcPr>
          <w:p w:rsidR="00621D92" w:rsidRPr="00621D92" w:rsidRDefault="00621D92" w:rsidP="00621D92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1.</w:t>
            </w:r>
            <w:r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學生作業、筆記、讀書報告、隨堂問答、測驗、實驗、</w:t>
            </w:r>
            <w:r w:rsidR="004832B5">
              <w:rPr>
                <w:rFonts w:ascii="標楷體" w:eastAsia="標楷體"/>
                <w:color w:val="000000"/>
                <w:sz w:val="28"/>
                <w:szCs w:val="28"/>
              </w:rPr>
              <w:br/>
            </w:r>
            <w:r w:rsidR="004832B5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聽講情形為日常考查成績，占學期總成績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  <w:r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0％。</w:t>
            </w:r>
          </w:p>
          <w:p w:rsidR="008B6E88" w:rsidRPr="00026E9B" w:rsidRDefault="00621D92" w:rsidP="00621D9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2.</w:t>
            </w:r>
            <w:r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週考、月考考試成績，占學期總成績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6</w:t>
            </w:r>
            <w:r w:rsidRPr="00621D92">
              <w:rPr>
                <w:rFonts w:ascii="標楷體" w:eastAsia="標楷體" w:hint="eastAsia"/>
                <w:color w:val="000000"/>
                <w:sz w:val="28"/>
                <w:szCs w:val="28"/>
              </w:rPr>
              <w:t>0％。</w:t>
            </w:r>
          </w:p>
        </w:tc>
      </w:tr>
      <w:tr w:rsidR="00CC2B5E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CC2B5E" w:rsidRPr="00026E9B" w:rsidRDefault="00CC2B5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941" w:type="dxa"/>
          </w:tcPr>
          <w:p w:rsidR="004832B5" w:rsidRDefault="004832B5" w:rsidP="004832B5">
            <w:pPr>
              <w:snapToGrid w:val="0"/>
              <w:spacing w:line="400" w:lineRule="atLeast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1.上課</w:t>
            </w:r>
            <w:r w:rsidR="00CC2B5E" w:rsidRPr="00A42597">
              <w:rPr>
                <w:rFonts w:ascii="標楷體" w:eastAsia="標楷體"/>
                <w:color w:val="000000"/>
                <w:sz w:val="28"/>
                <w:szCs w:val="28"/>
              </w:rPr>
              <w:t>認真聽講</w:t>
            </w:r>
            <w:r w:rsidR="00CC2B5E">
              <w:rPr>
                <w:rFonts w:ascii="標楷體" w:eastAsia="標楷體" w:hint="eastAsia"/>
                <w:color w:val="000000"/>
                <w:sz w:val="28"/>
                <w:szCs w:val="28"/>
              </w:rPr>
              <w:t>、</w:t>
            </w:r>
            <w:r w:rsidR="00CC2B5E" w:rsidRPr="00A42597">
              <w:rPr>
                <w:rFonts w:ascii="標楷體" w:eastAsia="標楷體"/>
                <w:color w:val="000000"/>
                <w:sz w:val="28"/>
                <w:szCs w:val="28"/>
              </w:rPr>
              <w:t>勤做筆記</w:t>
            </w:r>
            <w:r w:rsidR="00CC2B5E">
              <w:rPr>
                <w:rFonts w:ascii="標楷體" w:eastAsia="標楷體" w:hint="eastAsia"/>
                <w:color w:val="000000"/>
                <w:sz w:val="28"/>
                <w:szCs w:val="28"/>
              </w:rPr>
              <w:t>、創意思考、勇於發表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或發問</w:t>
            </w:r>
          </w:p>
          <w:p w:rsidR="004832B5" w:rsidRDefault="004832B5" w:rsidP="004832B5">
            <w:pPr>
              <w:snapToGrid w:val="0"/>
              <w:spacing w:line="400" w:lineRule="atLeast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2.</w:t>
            </w:r>
            <w:r w:rsidR="00CC2B5E" w:rsidRPr="00A42597">
              <w:rPr>
                <w:rFonts w:ascii="標楷體" w:eastAsia="標楷體"/>
                <w:color w:val="000000"/>
                <w:sz w:val="28"/>
                <w:szCs w:val="28"/>
              </w:rPr>
              <w:t>分組討論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時能踴躍</w:t>
            </w:r>
            <w:r w:rsidR="00CC2B5E" w:rsidRPr="00A42597">
              <w:rPr>
                <w:rFonts w:ascii="標楷體" w:eastAsia="標楷體"/>
                <w:color w:val="000000"/>
                <w:sz w:val="28"/>
                <w:szCs w:val="28"/>
              </w:rPr>
              <w:t>分享與報告</w:t>
            </w:r>
          </w:p>
          <w:p w:rsidR="004832B5" w:rsidRDefault="004832B5" w:rsidP="004832B5">
            <w:pPr>
              <w:snapToGrid w:val="0"/>
              <w:spacing w:line="400" w:lineRule="atLeast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3.</w:t>
            </w:r>
            <w:r w:rsidR="00CC2B5E" w:rsidRPr="00A42597">
              <w:rPr>
                <w:rFonts w:ascii="標楷體" w:eastAsia="標楷體"/>
                <w:color w:val="000000"/>
                <w:sz w:val="28"/>
                <w:szCs w:val="28"/>
              </w:rPr>
              <w:t>實驗課能多動手操作、細心觀察、多做討論</w:t>
            </w:r>
          </w:p>
          <w:p w:rsidR="00CC2B5E" w:rsidRPr="00E759ED" w:rsidRDefault="004832B5" w:rsidP="004832B5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4.</w:t>
            </w:r>
            <w:r w:rsidR="00CC2B5E" w:rsidRPr="00A42597">
              <w:rPr>
                <w:rFonts w:ascii="標楷體" w:eastAsia="標楷體"/>
                <w:color w:val="000000"/>
                <w:sz w:val="28"/>
                <w:szCs w:val="28"/>
              </w:rPr>
              <w:t>課後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多加複習並勤做題目練習，如</w:t>
            </w:r>
            <w:r w:rsidR="00CC2B5E" w:rsidRPr="00A42597">
              <w:rPr>
                <w:rFonts w:ascii="標楷體" w:eastAsia="標楷體"/>
                <w:color w:val="000000"/>
                <w:sz w:val="28"/>
                <w:szCs w:val="28"/>
              </w:rPr>
              <w:t>有疑問能主動請教老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br/>
              <w:t xml:space="preserve">  </w:t>
            </w:r>
            <w:r w:rsidR="00CC2B5E" w:rsidRPr="00A42597">
              <w:rPr>
                <w:rFonts w:ascii="標楷體" w:eastAsia="標楷體"/>
                <w:color w:val="000000"/>
                <w:sz w:val="28"/>
                <w:szCs w:val="28"/>
              </w:rPr>
              <w:t>師或與同學討論，並準時交作業與報告，確實訂正考卷。</w:t>
            </w:r>
          </w:p>
        </w:tc>
      </w:tr>
      <w:tr w:rsidR="00CC2B5E" w:rsidRPr="00026E9B" w:rsidTr="000F7EB4">
        <w:trPr>
          <w:trHeight w:val="1418"/>
          <w:jc w:val="center"/>
        </w:trPr>
        <w:tc>
          <w:tcPr>
            <w:tcW w:w="2713" w:type="dxa"/>
            <w:vAlign w:val="center"/>
          </w:tcPr>
          <w:p w:rsidR="00CC2B5E" w:rsidRPr="00026E9B" w:rsidRDefault="00CC2B5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CC2B5E" w:rsidRPr="00026E9B" w:rsidRDefault="00CC2B5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941" w:type="dxa"/>
          </w:tcPr>
          <w:p w:rsidR="004832B5" w:rsidRPr="004832B5" w:rsidRDefault="004832B5" w:rsidP="004832B5">
            <w:pPr>
              <w:snapToGrid w:val="0"/>
              <w:spacing w:line="400" w:lineRule="atLeast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1.</w:t>
            </w:r>
            <w:r w:rsidRPr="004832B5">
              <w:rPr>
                <w:rFonts w:ascii="標楷體" w:eastAsia="標楷體" w:hint="eastAsia"/>
                <w:color w:val="000000"/>
                <w:sz w:val="28"/>
                <w:szCs w:val="28"/>
              </w:rPr>
              <w:t>主動陪伴</w:t>
            </w:r>
          </w:p>
          <w:p w:rsidR="004832B5" w:rsidRPr="004832B5" w:rsidRDefault="004832B5" w:rsidP="004832B5">
            <w:pPr>
              <w:snapToGrid w:val="0"/>
              <w:spacing w:line="400" w:lineRule="atLeast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2.</w:t>
            </w:r>
            <w:r w:rsidRPr="004832B5">
              <w:rPr>
                <w:rFonts w:ascii="標楷體" w:eastAsia="標楷體" w:hint="eastAsia"/>
                <w:color w:val="000000"/>
                <w:sz w:val="28"/>
                <w:szCs w:val="28"/>
              </w:rPr>
              <w:t>能配合學校要求督促孩子學習</w:t>
            </w:r>
          </w:p>
          <w:p w:rsidR="004832B5" w:rsidRDefault="004832B5" w:rsidP="004832B5">
            <w:pPr>
              <w:snapToGrid w:val="0"/>
              <w:spacing w:line="400" w:lineRule="atLeast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3.</w:t>
            </w:r>
            <w:r w:rsidRPr="004832B5">
              <w:rPr>
                <w:rFonts w:ascii="標楷體" w:eastAsia="標楷體" w:hint="eastAsia"/>
                <w:color w:val="000000"/>
                <w:sz w:val="28"/>
                <w:szCs w:val="28"/>
              </w:rPr>
              <w:t>適時聯繫</w:t>
            </w:r>
          </w:p>
          <w:p w:rsidR="00CC2B5E" w:rsidRPr="004B72F9" w:rsidRDefault="004832B5" w:rsidP="008B535D">
            <w:pPr>
              <w:snapToGrid w:val="0"/>
              <w:spacing w:line="40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4.能</w:t>
            </w:r>
            <w:r w:rsidR="00CC2B5E" w:rsidRPr="004B72F9">
              <w:rPr>
                <w:rFonts w:ascii="標楷體" w:eastAsia="標楷體"/>
                <w:color w:val="000000"/>
                <w:sz w:val="28"/>
                <w:szCs w:val="28"/>
              </w:rPr>
              <w:t>鼓勵</w:t>
            </w:r>
            <w:r w:rsidR="00CC2B5E">
              <w:rPr>
                <w:rFonts w:ascii="標楷體" w:eastAsia="標楷體" w:hint="eastAsia"/>
                <w:color w:val="000000"/>
                <w:sz w:val="28"/>
                <w:szCs w:val="28"/>
              </w:rPr>
              <w:t>、</w:t>
            </w:r>
            <w:r w:rsidR="00CC2B5E" w:rsidRPr="004B72F9">
              <w:rPr>
                <w:rFonts w:ascii="標楷體" w:eastAsia="標楷體"/>
                <w:color w:val="000000"/>
                <w:sz w:val="28"/>
                <w:szCs w:val="28"/>
              </w:rPr>
              <w:t>輔導</w:t>
            </w:r>
            <w:r w:rsidR="00CC2B5E">
              <w:rPr>
                <w:rFonts w:ascii="標楷體" w:eastAsia="標楷體" w:hint="eastAsia"/>
                <w:color w:val="000000"/>
                <w:sz w:val="28"/>
                <w:szCs w:val="28"/>
              </w:rPr>
              <w:t>孩子</w:t>
            </w:r>
            <w:r w:rsidR="00CC2B5E">
              <w:rPr>
                <w:rFonts w:ascii="標楷體" w:eastAsia="標楷體"/>
                <w:color w:val="000000"/>
                <w:sz w:val="28"/>
                <w:szCs w:val="28"/>
              </w:rPr>
              <w:t>多閱讀</w:t>
            </w:r>
            <w:r w:rsidR="00CC2B5E">
              <w:rPr>
                <w:rFonts w:ascii="標楷體" w:eastAsia="標楷體" w:hint="eastAsia"/>
                <w:color w:val="000000"/>
                <w:sz w:val="28"/>
                <w:szCs w:val="28"/>
              </w:rPr>
              <w:t>相關科學常識與新知</w:t>
            </w:r>
            <w:r w:rsidR="00CC2B5E" w:rsidRPr="004B72F9">
              <w:rPr>
                <w:rFonts w:ascii="標楷體" w:eastAsia="標楷體"/>
                <w:color w:val="000000"/>
                <w:sz w:val="28"/>
                <w:szCs w:val="28"/>
              </w:rPr>
              <w:t>的文章、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br/>
              <w:t xml:space="preserve">  </w:t>
            </w:r>
            <w:r w:rsidR="00CC2B5E" w:rsidRPr="004B72F9">
              <w:rPr>
                <w:rFonts w:ascii="標楷體" w:eastAsia="標楷體"/>
                <w:color w:val="000000"/>
                <w:sz w:val="28"/>
                <w:szCs w:val="28"/>
              </w:rPr>
              <w:t>雜誌</w:t>
            </w:r>
            <w:r w:rsidR="00CC2B5E">
              <w:rPr>
                <w:rFonts w:ascii="標楷體" w:eastAsia="標楷體" w:hint="eastAsia"/>
                <w:color w:val="000000"/>
                <w:sz w:val="28"/>
                <w:szCs w:val="28"/>
              </w:rPr>
              <w:t>、</w:t>
            </w:r>
            <w:r w:rsidR="00CC2B5E" w:rsidRPr="004B72F9">
              <w:rPr>
                <w:rFonts w:ascii="標楷體" w:eastAsia="標楷體"/>
                <w:color w:val="000000"/>
                <w:sz w:val="28"/>
                <w:szCs w:val="28"/>
              </w:rPr>
              <w:t>書籍，或上網查詢課程有關的資料與圖片，以補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br/>
              <w:t xml:space="preserve">  </w:t>
            </w:r>
            <w:bookmarkStart w:id="0" w:name="_GoBack"/>
            <w:bookmarkEnd w:id="0"/>
            <w:r w:rsidR="00CC2B5E" w:rsidRPr="004B72F9">
              <w:rPr>
                <w:rFonts w:ascii="標楷體" w:eastAsia="標楷體"/>
                <w:color w:val="000000"/>
                <w:sz w:val="28"/>
                <w:szCs w:val="28"/>
              </w:rPr>
              <w:t>教材內容之不足。</w:t>
            </w:r>
          </w:p>
        </w:tc>
      </w:tr>
    </w:tbl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712"/>
        <w:gridCol w:w="3275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9814B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9814BD" w:rsidRPr="009814BD">
              <w:rPr>
                <w:rFonts w:ascii="標楷體" w:eastAsia="標楷體" w:hAnsi="標楷體" w:hint="eastAsia"/>
                <w:color w:val="000000"/>
                <w:szCs w:val="24"/>
              </w:rPr>
              <w:t>自然與生活科技(生物部分)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教師姓名：</w:t>
            </w:r>
            <w:r w:rsidR="009814BD">
              <w:rPr>
                <w:rFonts w:ascii="標楷體" w:eastAsia="標楷體" w:hAnsi="標楷體" w:hint="eastAsia"/>
                <w:color w:val="000000"/>
                <w:szCs w:val="24"/>
              </w:rPr>
              <w:t>王妍</w:t>
            </w:r>
            <w:proofErr w:type="gramStart"/>
            <w:r w:rsidR="009814BD">
              <w:rPr>
                <w:rFonts w:ascii="標楷體" w:eastAsia="標楷體" w:hAnsi="標楷體" w:hint="eastAsia"/>
                <w:color w:val="000000"/>
                <w:szCs w:val="24"/>
              </w:rPr>
              <w:t>絜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授課班級：</w:t>
            </w:r>
            <w:r w:rsidR="009814BD"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proofErr w:type="gramStart"/>
            <w:r w:rsidR="009814BD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="009814BD">
              <w:rPr>
                <w:rFonts w:ascii="標楷體" w:eastAsia="標楷體" w:hAnsi="標楷體" w:hint="eastAsia"/>
                <w:color w:val="000000"/>
                <w:szCs w:val="24"/>
              </w:rPr>
              <w:t>甲、丙、</w:t>
            </w:r>
            <w:proofErr w:type="gramStart"/>
            <w:r w:rsidR="009814BD">
              <w:rPr>
                <w:rFonts w:ascii="標楷體" w:eastAsia="標楷體" w:hAnsi="標楷體" w:hint="eastAsia"/>
                <w:color w:val="000000"/>
                <w:szCs w:val="24"/>
              </w:rPr>
              <w:t>丁班</w:t>
            </w:r>
            <w:proofErr w:type="gramEnd"/>
          </w:p>
        </w:tc>
      </w:tr>
      <w:tr w:rsidR="008B6E88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712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27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D71ED" w:rsidRDefault="008D71ED" w:rsidP="008D71E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D71E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1-1 細胞的分裂</w:t>
            </w:r>
          </w:p>
          <w:p w:rsidR="008D71ED" w:rsidRDefault="008D71ED" w:rsidP="008D71E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D71E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1-2 無性生殖</w:t>
            </w:r>
          </w:p>
          <w:p w:rsidR="008B6E88" w:rsidRPr="00026E9B" w:rsidRDefault="008D71ED" w:rsidP="008D71E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D71E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1-3 有性生殖</w:t>
            </w:r>
          </w:p>
        </w:tc>
        <w:tc>
          <w:tcPr>
            <w:tcW w:w="1712" w:type="dxa"/>
            <w:vAlign w:val="center"/>
          </w:tcPr>
          <w:p w:rsidR="008B6E88" w:rsidRDefault="008D71ED" w:rsidP="008D71E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D71ED" w:rsidRDefault="008D71ED" w:rsidP="008D71E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2.影片欣賞</w:t>
            </w:r>
          </w:p>
          <w:p w:rsidR="008D71ED" w:rsidRPr="008D71ED" w:rsidRDefault="008D71ED" w:rsidP="008D71E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3.小組活動</w:t>
            </w:r>
          </w:p>
        </w:tc>
        <w:tc>
          <w:tcPr>
            <w:tcW w:w="3275" w:type="dxa"/>
            <w:vAlign w:val="center"/>
          </w:tcPr>
          <w:p w:rsidR="000C524B" w:rsidRDefault="000C524B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生命教育、性別平等教育</w:t>
            </w:r>
          </w:p>
          <w:p w:rsidR="008B6E88" w:rsidRPr="00026E9B" w:rsidRDefault="000C524B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8B6E88"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8B6E88"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="008B6E88"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8B6E88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8D71ED" w:rsidP="008D71E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D71E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2-1 孟德爾的遺傳法則</w:t>
            </w:r>
          </w:p>
        </w:tc>
        <w:tc>
          <w:tcPr>
            <w:tcW w:w="1712" w:type="dxa"/>
            <w:vAlign w:val="center"/>
          </w:tcPr>
          <w:p w:rsidR="008D71ED" w:rsidRPr="008D71ED" w:rsidRDefault="008D71ED" w:rsidP="008D71E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D71ED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D71ED" w:rsidRPr="008D71ED" w:rsidRDefault="008D71ED" w:rsidP="008D71E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D71ED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D71ED" w:rsidRPr="008D71ED" w:rsidRDefault="008D71ED" w:rsidP="008D71E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D71ED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8B6E88" w:rsidRPr="00026E9B" w:rsidRDefault="008D71ED" w:rsidP="008D71E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D71ED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8B6E88" w:rsidRPr="00026E9B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生命教育、性別平等教育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A0AA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2-2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遺傳與基因</w:t>
            </w:r>
          </w:p>
        </w:tc>
        <w:tc>
          <w:tcPr>
            <w:tcW w:w="1712" w:type="dxa"/>
            <w:vAlign w:val="center"/>
          </w:tcPr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E403D3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生命教育、性別平等教育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A0AA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2-3 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類的遺傳</w:t>
            </w:r>
            <w:r w:rsidRPr="00026E9B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712" w:type="dxa"/>
            <w:vAlign w:val="center"/>
          </w:tcPr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生命教育、性別平等教育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A0AA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2-4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突變與遺傳諮詢</w:t>
            </w:r>
            <w:r w:rsidRPr="00026E9B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712" w:type="dxa"/>
            <w:vAlign w:val="center"/>
          </w:tcPr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生命教育、性別平等教育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D71E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2-5 生物技術</w:t>
            </w:r>
          </w:p>
        </w:tc>
        <w:tc>
          <w:tcPr>
            <w:tcW w:w="1712" w:type="dxa"/>
            <w:vAlign w:val="center"/>
          </w:tcPr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0C524B" w:rsidRDefault="000C524B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法治教育、人權教育</w:t>
            </w:r>
          </w:p>
          <w:p w:rsidR="00332AB4" w:rsidRPr="00026E9B" w:rsidRDefault="000C524B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proofErr w:type="gramStart"/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</w:t>
            </w:r>
            <w:proofErr w:type="gramEnd"/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-3/24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3-1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化石</w:t>
            </w:r>
          </w:p>
        </w:tc>
        <w:tc>
          <w:tcPr>
            <w:tcW w:w="1712" w:type="dxa"/>
            <w:vAlign w:val="center"/>
          </w:tcPr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E403D3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3-2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演化的學說</w:t>
            </w:r>
          </w:p>
        </w:tc>
        <w:tc>
          <w:tcPr>
            <w:tcW w:w="1712" w:type="dxa"/>
            <w:vAlign w:val="center"/>
          </w:tcPr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D71E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3-3 生物的演化</w:t>
            </w:r>
          </w:p>
        </w:tc>
        <w:tc>
          <w:tcPr>
            <w:tcW w:w="1712" w:type="dxa"/>
            <w:vAlign w:val="center"/>
          </w:tcPr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E403D3" w:rsidRDefault="000C524B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4-1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生物的分類</w:t>
            </w:r>
          </w:p>
          <w:p w:rsidR="00332AB4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4-2 原核及原生生物界</w:t>
            </w:r>
          </w:p>
        </w:tc>
        <w:tc>
          <w:tcPr>
            <w:tcW w:w="1712" w:type="dxa"/>
            <w:vAlign w:val="center"/>
          </w:tcPr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4-3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菌物界</w:t>
            </w:r>
            <w:proofErr w:type="gramEnd"/>
          </w:p>
        </w:tc>
        <w:tc>
          <w:tcPr>
            <w:tcW w:w="1712" w:type="dxa"/>
            <w:vAlign w:val="center"/>
          </w:tcPr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A0AA9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4-4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植物界</w:t>
            </w:r>
          </w:p>
        </w:tc>
        <w:tc>
          <w:tcPr>
            <w:tcW w:w="1712" w:type="dxa"/>
            <w:vAlign w:val="center"/>
          </w:tcPr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E403D3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D71ED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4-5 動物界</w:t>
            </w:r>
          </w:p>
        </w:tc>
        <w:tc>
          <w:tcPr>
            <w:tcW w:w="1712" w:type="dxa"/>
            <w:vAlign w:val="center"/>
          </w:tcPr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8A0AA9" w:rsidRPr="008A0AA9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0C524B" w:rsidRDefault="000C524B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  <w:p w:rsidR="00332AB4" w:rsidRPr="00026E9B" w:rsidRDefault="000C524B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proofErr w:type="gramStart"/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</w:t>
            </w:r>
            <w:proofErr w:type="gramEnd"/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-5/11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8A0AA9" w:rsidRDefault="008A0AA9" w:rsidP="008A0AA9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5-1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族群與群集</w:t>
            </w:r>
          </w:p>
          <w:p w:rsidR="00332AB4" w:rsidRPr="00026E9B" w:rsidRDefault="008A0AA9" w:rsidP="008A0AA9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5-2 </w:t>
            </w:r>
            <w:proofErr w:type="gramStart"/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生物間的互動</w:t>
            </w:r>
            <w:proofErr w:type="gramEnd"/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係</w:t>
            </w:r>
            <w:r w:rsidRPr="00026E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12" w:type="dxa"/>
            <w:vAlign w:val="center"/>
          </w:tcPr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3.小組討論</w:t>
            </w:r>
          </w:p>
          <w:p w:rsidR="00332AB4" w:rsidRPr="00026E9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A0AA9">
            <w:pPr>
              <w:snapToGrid w:val="0"/>
              <w:ind w:left="185" w:hangingChars="77" w:hanging="185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5-3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生態系</w:t>
            </w:r>
          </w:p>
        </w:tc>
        <w:tc>
          <w:tcPr>
            <w:tcW w:w="1712" w:type="dxa"/>
            <w:vAlign w:val="center"/>
          </w:tcPr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D71E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5-4 生態系的類型</w:t>
            </w:r>
          </w:p>
        </w:tc>
        <w:tc>
          <w:tcPr>
            <w:tcW w:w="1712" w:type="dxa"/>
            <w:vAlign w:val="center"/>
          </w:tcPr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8A0AA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 xml:space="preserve">6-1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人類與環境</w:t>
            </w:r>
          </w:p>
        </w:tc>
        <w:tc>
          <w:tcPr>
            <w:tcW w:w="1712" w:type="dxa"/>
            <w:vAlign w:val="center"/>
          </w:tcPr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E403D3" w:rsidRDefault="000C524B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8A0AA9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8A0AA9">
              <w:rPr>
                <w:rFonts w:ascii="標楷體" w:eastAsia="標楷體" w:hAnsi="標楷體" w:hint="eastAsia"/>
                <w:color w:val="000000"/>
                <w:szCs w:val="24"/>
              </w:rPr>
              <w:t>6-2 生物多樣</w:t>
            </w:r>
            <w:r w:rsidR="000C524B">
              <w:rPr>
                <w:rFonts w:ascii="標楷體" w:eastAsia="標楷體" w:hAnsi="標楷體" w:hint="eastAsia"/>
                <w:color w:val="000000"/>
                <w:szCs w:val="24"/>
              </w:rPr>
              <w:t>性</w:t>
            </w:r>
          </w:p>
        </w:tc>
        <w:tc>
          <w:tcPr>
            <w:tcW w:w="1712" w:type="dxa"/>
            <w:vAlign w:val="center"/>
          </w:tcPr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0C524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0C524B" w:rsidP="008D71E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6-3 保育與生態平衡</w:t>
            </w:r>
          </w:p>
        </w:tc>
        <w:tc>
          <w:tcPr>
            <w:tcW w:w="1712" w:type="dxa"/>
            <w:vAlign w:val="center"/>
          </w:tcPr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1.講述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2.實驗操作</w:t>
            </w:r>
          </w:p>
          <w:p w:rsidR="000C524B" w:rsidRPr="000C524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3.小組討論</w:t>
            </w:r>
          </w:p>
          <w:p w:rsidR="00332AB4" w:rsidRPr="00026E9B" w:rsidRDefault="000C524B" w:rsidP="000C524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4.撰寫學習單、作業與報告</w:t>
            </w:r>
          </w:p>
        </w:tc>
        <w:tc>
          <w:tcPr>
            <w:tcW w:w="3275" w:type="dxa"/>
            <w:vAlign w:val="center"/>
          </w:tcPr>
          <w:p w:rsidR="00332AB4" w:rsidRPr="00026E9B" w:rsidRDefault="000C524B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C524B">
              <w:rPr>
                <w:rFonts w:ascii="標楷體" w:eastAsia="標楷體" w:hAnsi="標楷體" w:hint="eastAsia"/>
                <w:color w:val="000000"/>
                <w:szCs w:val="24"/>
              </w:rPr>
              <w:t>環保教育、永續發展</w:t>
            </w:r>
          </w:p>
        </w:tc>
      </w:tr>
      <w:tr w:rsidR="00332AB4" w:rsidRPr="00026E9B" w:rsidTr="008D71ED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9A" w:rsidRDefault="00CD4D9A" w:rsidP="00332AB4">
      <w:r>
        <w:separator/>
      </w:r>
    </w:p>
  </w:endnote>
  <w:endnote w:type="continuationSeparator" w:id="0">
    <w:p w:rsidR="00CD4D9A" w:rsidRDefault="00CD4D9A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9A" w:rsidRDefault="00CD4D9A" w:rsidP="00332AB4">
      <w:r>
        <w:separator/>
      </w:r>
    </w:p>
  </w:footnote>
  <w:footnote w:type="continuationSeparator" w:id="0">
    <w:p w:rsidR="00CD4D9A" w:rsidRDefault="00CD4D9A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0C524B"/>
    <w:rsid w:val="000F7EB4"/>
    <w:rsid w:val="002769DA"/>
    <w:rsid w:val="002D2427"/>
    <w:rsid w:val="003309B2"/>
    <w:rsid w:val="00332AB4"/>
    <w:rsid w:val="00337934"/>
    <w:rsid w:val="00361E8A"/>
    <w:rsid w:val="003643EA"/>
    <w:rsid w:val="00377E1D"/>
    <w:rsid w:val="003B63F0"/>
    <w:rsid w:val="004320B5"/>
    <w:rsid w:val="00440D99"/>
    <w:rsid w:val="004832B5"/>
    <w:rsid w:val="004B6C47"/>
    <w:rsid w:val="004E05D6"/>
    <w:rsid w:val="005121D4"/>
    <w:rsid w:val="005F5EB3"/>
    <w:rsid w:val="005F6761"/>
    <w:rsid w:val="0061734F"/>
    <w:rsid w:val="00621D92"/>
    <w:rsid w:val="007975CF"/>
    <w:rsid w:val="007D7216"/>
    <w:rsid w:val="00846FD2"/>
    <w:rsid w:val="008A0AA9"/>
    <w:rsid w:val="008B6E88"/>
    <w:rsid w:val="008C68A4"/>
    <w:rsid w:val="008D5E1A"/>
    <w:rsid w:val="008D71ED"/>
    <w:rsid w:val="009814BD"/>
    <w:rsid w:val="009918C0"/>
    <w:rsid w:val="009F21B0"/>
    <w:rsid w:val="00A70353"/>
    <w:rsid w:val="00BA1F5B"/>
    <w:rsid w:val="00BE119A"/>
    <w:rsid w:val="00CC2B5E"/>
    <w:rsid w:val="00CD4D9A"/>
    <w:rsid w:val="00CE5844"/>
    <w:rsid w:val="00D2766D"/>
    <w:rsid w:val="00D844B1"/>
    <w:rsid w:val="00E403D3"/>
    <w:rsid w:val="00ED0137"/>
    <w:rsid w:val="00ED5B70"/>
    <w:rsid w:val="00F34EEC"/>
    <w:rsid w:val="00F37277"/>
    <w:rsid w:val="00F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sayo</cp:lastModifiedBy>
  <cp:revision>16</cp:revision>
  <cp:lastPrinted>2017-02-13T09:17:00Z</cp:lastPrinted>
  <dcterms:created xsi:type="dcterms:W3CDTF">2017-02-13T09:05:00Z</dcterms:created>
  <dcterms:modified xsi:type="dcterms:W3CDTF">2017-02-16T14:09:00Z</dcterms:modified>
</cp:coreProperties>
</file>